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699B0E2" w14:textId="77777777" w:rsidR="00521E9C" w:rsidRDefault="003A6504" w:rsidP="003A6504">
      <w:pPr>
        <w:pStyle w:val="HTMLPreformatted"/>
        <w:shd w:val="clear" w:color="auto" w:fill="FFFFFF"/>
        <w:spacing w:line="360" w:lineRule="auto"/>
        <w:ind w:left="2345"/>
        <w:jc w:val="center"/>
        <w:rPr>
          <w:rFonts w:ascii="Times New Roman" w:hAnsi="Times New Roman" w:cs="Times New Roman"/>
          <w:b/>
          <w:color w:val="0D0D0D" w:themeColor="text1" w:themeTint="F2"/>
          <w:sz w:val="24"/>
          <w:szCs w:val="24"/>
          <w:lang w:val="en-GB"/>
        </w:rPr>
      </w:pPr>
      <w:r>
        <w:rPr>
          <w:rFonts w:ascii="Times New Roman" w:hAnsi="Times New Roman" w:cs="Times New Roman"/>
          <w:b/>
          <w:color w:val="0D0D0D" w:themeColor="text1" w:themeTint="F2"/>
          <w:sz w:val="24"/>
          <w:szCs w:val="24"/>
          <w:lang w:val="en-GB"/>
        </w:rPr>
        <w:t xml:space="preserve">The </w:t>
      </w:r>
      <w:r w:rsidR="00521E9C" w:rsidRPr="00521E9C">
        <w:rPr>
          <w:rFonts w:ascii="Times New Roman" w:hAnsi="Times New Roman" w:cs="Times New Roman"/>
          <w:b/>
          <w:color w:val="0D0D0D" w:themeColor="text1" w:themeTint="F2"/>
          <w:sz w:val="24"/>
          <w:szCs w:val="24"/>
          <w:lang w:val="en-GB"/>
        </w:rPr>
        <w:t>political discourse</w:t>
      </w:r>
    </w:p>
    <w:p w14:paraId="6123A01C" w14:textId="77777777" w:rsidR="003A6504" w:rsidRDefault="003A6504" w:rsidP="003A6504">
      <w:pPr>
        <w:pStyle w:val="HTMLPreformatted"/>
        <w:shd w:val="clear" w:color="auto" w:fill="FFFFFF"/>
        <w:spacing w:line="360" w:lineRule="auto"/>
        <w:ind w:left="2345"/>
        <w:jc w:val="right"/>
        <w:rPr>
          <w:rFonts w:ascii="Times New Roman" w:hAnsi="Times New Roman" w:cs="Times New Roman"/>
          <w:b/>
          <w:color w:val="0D0D0D" w:themeColor="text1" w:themeTint="F2"/>
          <w:sz w:val="24"/>
          <w:szCs w:val="24"/>
          <w:lang w:val="en-GB"/>
        </w:rPr>
      </w:pPr>
      <w:bookmarkStart w:id="0" w:name="_GoBack"/>
      <w:r>
        <w:rPr>
          <w:rFonts w:ascii="Times New Roman" w:hAnsi="Times New Roman" w:cs="Times New Roman"/>
          <w:b/>
          <w:color w:val="0D0D0D" w:themeColor="text1" w:themeTint="F2"/>
          <w:sz w:val="24"/>
          <w:szCs w:val="24"/>
          <w:lang w:val="en-GB"/>
        </w:rPr>
        <w:t>Dramba Nicuta-Minodora</w:t>
      </w:r>
    </w:p>
    <w:bookmarkEnd w:id="0"/>
    <w:p w14:paraId="2EC237C7" w14:textId="77777777" w:rsidR="003A6504" w:rsidRPr="00521E9C" w:rsidRDefault="003A6504" w:rsidP="003A6504">
      <w:pPr>
        <w:pStyle w:val="HTMLPreformatted"/>
        <w:shd w:val="clear" w:color="auto" w:fill="FFFFFF"/>
        <w:spacing w:line="360" w:lineRule="auto"/>
        <w:ind w:left="2345"/>
        <w:jc w:val="right"/>
        <w:rPr>
          <w:rFonts w:ascii="Times New Roman" w:hAnsi="Times New Roman" w:cs="Times New Roman"/>
          <w:b/>
          <w:color w:val="0D0D0D" w:themeColor="text1" w:themeTint="F2"/>
          <w:sz w:val="24"/>
          <w:szCs w:val="24"/>
          <w:lang w:val="en-GB"/>
        </w:rPr>
      </w:pPr>
      <w:r>
        <w:rPr>
          <w:rFonts w:ascii="Times New Roman" w:hAnsi="Times New Roman" w:cs="Times New Roman"/>
          <w:b/>
          <w:color w:val="0D0D0D" w:themeColor="text1" w:themeTint="F2"/>
          <w:sz w:val="24"/>
          <w:szCs w:val="24"/>
          <w:lang w:val="en-GB"/>
        </w:rPr>
        <w:t>Scoala Gimnaziala Nr. 1 Orbeni</w:t>
      </w:r>
    </w:p>
    <w:p w14:paraId="6BE28C75" w14:textId="77777777" w:rsidR="00521E9C" w:rsidRPr="00164CED" w:rsidRDefault="00521E9C" w:rsidP="00521E9C">
      <w:pPr>
        <w:pStyle w:val="HTMLPreformatted"/>
        <w:shd w:val="clear" w:color="auto" w:fill="FFFFFF"/>
        <w:spacing w:line="360" w:lineRule="auto"/>
        <w:ind w:left="2345"/>
        <w:jc w:val="both"/>
        <w:rPr>
          <w:rFonts w:ascii="Times New Roman" w:hAnsi="Times New Roman" w:cs="Times New Roman"/>
          <w:b/>
          <w:color w:val="0D0D0D" w:themeColor="text1" w:themeTint="F2"/>
          <w:sz w:val="28"/>
          <w:szCs w:val="28"/>
          <w:lang w:val="en-GB"/>
        </w:rPr>
      </w:pPr>
    </w:p>
    <w:p w14:paraId="6D334310" w14:textId="77777777" w:rsidR="00521E9C" w:rsidRPr="00164CED" w:rsidRDefault="00521E9C" w:rsidP="00521E9C">
      <w:pPr>
        <w:pStyle w:val="HTMLPreformatted"/>
        <w:shd w:val="clear" w:color="auto" w:fill="FFFFFF"/>
        <w:spacing w:line="360" w:lineRule="auto"/>
        <w:jc w:val="both"/>
        <w:rPr>
          <w:rFonts w:ascii="Times New Roman" w:hAnsi="Times New Roman" w:cs="Times New Roman"/>
          <w:color w:val="0D0D0D" w:themeColor="text1" w:themeTint="F2"/>
          <w:sz w:val="24"/>
          <w:szCs w:val="24"/>
          <w:lang w:val="en-GB"/>
        </w:rPr>
      </w:pPr>
      <w:r w:rsidRPr="00164CED">
        <w:rPr>
          <w:rFonts w:ascii="Times New Roman" w:hAnsi="Times New Roman" w:cs="Times New Roman"/>
          <w:color w:val="0D0D0D" w:themeColor="text1" w:themeTint="F2"/>
          <w:sz w:val="24"/>
          <w:szCs w:val="24"/>
          <w:lang w:val="en-GB"/>
        </w:rPr>
        <w:tab/>
        <w:t>The first to discover the effects of language were the Greeks, who also invented the rhetoric, called the science of speaking well. In ancient Greece were born many scientists, thinkers, philosophers who felt on their skin the impact of the political discourse held in front of an assemble.</w:t>
      </w:r>
    </w:p>
    <w:p w14:paraId="62A09FA4" w14:textId="77777777" w:rsidR="00521E9C" w:rsidRPr="00164CED" w:rsidRDefault="00521E9C" w:rsidP="00521E9C">
      <w:pPr>
        <w:pStyle w:val="HTMLPreformatted"/>
        <w:shd w:val="clear" w:color="auto" w:fill="FFFFFF"/>
        <w:spacing w:line="360" w:lineRule="auto"/>
        <w:jc w:val="both"/>
        <w:rPr>
          <w:rFonts w:ascii="Times New Roman" w:hAnsi="Times New Roman" w:cs="Times New Roman"/>
          <w:color w:val="0D0D0D" w:themeColor="text1" w:themeTint="F2"/>
          <w:sz w:val="24"/>
          <w:szCs w:val="24"/>
          <w:lang w:val="en-GB"/>
        </w:rPr>
      </w:pPr>
      <w:r w:rsidRPr="00164CED">
        <w:rPr>
          <w:rFonts w:ascii="Times New Roman" w:hAnsi="Times New Roman" w:cs="Times New Roman"/>
          <w:color w:val="0D0D0D" w:themeColor="text1" w:themeTint="F2"/>
          <w:sz w:val="24"/>
          <w:szCs w:val="24"/>
          <w:lang w:val="en-GB"/>
        </w:rPr>
        <w:t xml:space="preserve">               The political discourse is different to the media one, because its goals, the discourse may be addressed directly by monolog or interaction. Giving and receiving arguments, to support their ideas, the political discourse is used by the emotions when the arguments are not enough to motivate the action. The politicians are persuaders, providers, performers who want to change the audience point of thinking, acting. </w:t>
      </w:r>
    </w:p>
    <w:p w14:paraId="471946E5" w14:textId="77777777" w:rsidR="00521E9C" w:rsidRPr="00164CED" w:rsidRDefault="00521E9C" w:rsidP="00521E9C">
      <w:pPr>
        <w:pStyle w:val="HTMLPreformatted"/>
        <w:shd w:val="clear" w:color="auto" w:fill="FFFFFF"/>
        <w:spacing w:line="360" w:lineRule="auto"/>
        <w:jc w:val="both"/>
        <w:rPr>
          <w:rFonts w:ascii="Times New Roman" w:hAnsi="Times New Roman" w:cs="Times New Roman"/>
          <w:i/>
          <w:color w:val="0D0D0D" w:themeColor="text1" w:themeTint="F2"/>
          <w:sz w:val="24"/>
          <w:szCs w:val="24"/>
          <w:lang w:val="en-GB"/>
        </w:rPr>
      </w:pPr>
      <w:r w:rsidRPr="00164CED">
        <w:rPr>
          <w:rFonts w:ascii="Times New Roman" w:hAnsi="Times New Roman" w:cs="Times New Roman"/>
          <w:i/>
          <w:color w:val="0D0D0D" w:themeColor="text1" w:themeTint="F2"/>
          <w:sz w:val="24"/>
          <w:szCs w:val="24"/>
          <w:lang w:val="en-GB"/>
        </w:rPr>
        <w:tab/>
        <w:t>“</w:t>
      </w:r>
      <w:r w:rsidRPr="00521E9C">
        <w:rPr>
          <w:rFonts w:ascii="Times New Roman" w:hAnsi="Times New Roman" w:cs="Times New Roman"/>
          <w:color w:val="0D0D0D" w:themeColor="text1" w:themeTint="F2"/>
          <w:sz w:val="24"/>
          <w:szCs w:val="24"/>
          <w:lang w:val="en-GB"/>
        </w:rPr>
        <w:t>Obviously, it is more difficult to question something that is communicated only implicitly rather than something which is communicated openly, if only because what is implicit must be aggressive value underlying any attack to presuppositions; such an attack is seriously face-threatening</w:t>
      </w:r>
      <w:r w:rsidRPr="00164CED">
        <w:rPr>
          <w:rFonts w:ascii="Times New Roman" w:hAnsi="Times New Roman" w:cs="Times New Roman"/>
          <w:i/>
          <w:color w:val="0D0D0D" w:themeColor="text1" w:themeTint="F2"/>
          <w:sz w:val="24"/>
          <w:szCs w:val="24"/>
          <w:lang w:val="en-GB"/>
        </w:rPr>
        <w:t>”</w:t>
      </w:r>
      <w:r w:rsidRPr="00164CED">
        <w:rPr>
          <w:rStyle w:val="FootnoteReference"/>
          <w:rFonts w:ascii="Times New Roman" w:hAnsi="Times New Roman" w:cs="Times New Roman"/>
          <w:i/>
          <w:color w:val="0D0D0D" w:themeColor="text1" w:themeTint="F2"/>
          <w:sz w:val="24"/>
          <w:szCs w:val="24"/>
          <w:lang w:val="en-GB"/>
        </w:rPr>
        <w:footnoteReference w:id="1"/>
      </w:r>
      <w:r w:rsidRPr="00164CED">
        <w:rPr>
          <w:rFonts w:ascii="Times New Roman" w:hAnsi="Times New Roman" w:cs="Times New Roman"/>
          <w:i/>
          <w:color w:val="0D0D0D" w:themeColor="text1" w:themeTint="F2"/>
          <w:sz w:val="24"/>
          <w:szCs w:val="24"/>
          <w:lang w:val="en-GB"/>
        </w:rPr>
        <w:t>.</w:t>
      </w:r>
      <w:r w:rsidRPr="00164CED">
        <w:rPr>
          <w:rFonts w:ascii="Times New Roman" w:hAnsi="Times New Roman" w:cs="Times New Roman"/>
          <w:color w:val="0D0D0D" w:themeColor="text1" w:themeTint="F2"/>
          <w:sz w:val="24"/>
          <w:szCs w:val="24"/>
          <w:lang w:val="en-GB"/>
        </w:rPr>
        <w:t xml:space="preserve">                     </w:t>
      </w:r>
    </w:p>
    <w:p w14:paraId="2FC1A3BF" w14:textId="77777777" w:rsidR="00521E9C" w:rsidRPr="00164CED" w:rsidRDefault="00521E9C" w:rsidP="00521E9C">
      <w:pPr>
        <w:pStyle w:val="HTMLPreformatted"/>
        <w:shd w:val="clear" w:color="auto" w:fill="FFFFFF"/>
        <w:spacing w:line="360" w:lineRule="auto"/>
        <w:jc w:val="both"/>
        <w:rPr>
          <w:rFonts w:ascii="Times New Roman" w:hAnsi="Times New Roman" w:cs="Times New Roman"/>
          <w:i/>
          <w:color w:val="0D0D0D" w:themeColor="text1" w:themeTint="F2"/>
          <w:sz w:val="24"/>
          <w:szCs w:val="24"/>
          <w:lang w:val="en-GB"/>
        </w:rPr>
      </w:pPr>
      <w:r w:rsidRPr="00164CED">
        <w:rPr>
          <w:rFonts w:ascii="Times New Roman" w:hAnsi="Times New Roman" w:cs="Times New Roman"/>
          <w:color w:val="0D0D0D" w:themeColor="text1" w:themeTint="F2"/>
          <w:sz w:val="24"/>
          <w:szCs w:val="24"/>
          <w:lang w:val="en-GB"/>
        </w:rPr>
        <w:tab/>
        <w:t xml:space="preserve">Aristotle pointed in the Politics that between language and politics are the following: </w:t>
      </w:r>
      <w:r w:rsidRPr="00164CED">
        <w:rPr>
          <w:rFonts w:ascii="Times New Roman" w:hAnsi="Times New Roman" w:cs="Times New Roman"/>
          <w:i/>
          <w:color w:val="0D0D0D" w:themeColor="text1" w:themeTint="F2"/>
          <w:sz w:val="24"/>
          <w:szCs w:val="24"/>
          <w:lang w:val="en-GB"/>
        </w:rPr>
        <w:t>“</w:t>
      </w:r>
      <w:r w:rsidRPr="00521E9C">
        <w:rPr>
          <w:rFonts w:ascii="Times New Roman" w:hAnsi="Times New Roman" w:cs="Times New Roman"/>
          <w:color w:val="0D0D0D" w:themeColor="text1" w:themeTint="F2"/>
          <w:sz w:val="24"/>
          <w:szCs w:val="24"/>
          <w:lang w:val="en-GB"/>
        </w:rPr>
        <w:t>But obviously man is a political animal in a sense in which a bee is not, or any other gregarious animal. Nature, as we say, does nothing without some purpose; and she endowed man alone among the animals with the power of speech. Speech is something different from voice, which is possessed by other animals also and used by them to express pain or pleasure... Speech, on the other hand, serves to indicate what is useful between man and other animals are that humans alone have the perception of good and evil, just and unjust, etc</w:t>
      </w:r>
      <w:r w:rsidRPr="00164CED">
        <w:rPr>
          <w:rFonts w:ascii="Times New Roman" w:hAnsi="Times New Roman" w:cs="Times New Roman"/>
          <w:i/>
          <w:color w:val="0D0D0D" w:themeColor="text1" w:themeTint="F2"/>
          <w:sz w:val="24"/>
          <w:szCs w:val="24"/>
          <w:lang w:val="en-GB"/>
        </w:rPr>
        <w:t>”</w:t>
      </w:r>
      <w:r w:rsidRPr="00164CED">
        <w:rPr>
          <w:rStyle w:val="FootnoteReference"/>
          <w:rFonts w:ascii="Times New Roman" w:hAnsi="Times New Roman" w:cs="Times New Roman"/>
          <w:i/>
          <w:color w:val="0D0D0D" w:themeColor="text1" w:themeTint="F2"/>
          <w:sz w:val="24"/>
          <w:szCs w:val="24"/>
          <w:lang w:val="en-GB"/>
        </w:rPr>
        <w:footnoteReference w:id="2"/>
      </w:r>
      <w:r w:rsidRPr="00164CED">
        <w:rPr>
          <w:rFonts w:ascii="Times New Roman" w:hAnsi="Times New Roman" w:cs="Times New Roman"/>
          <w:i/>
          <w:color w:val="0D0D0D" w:themeColor="text1" w:themeTint="F2"/>
          <w:sz w:val="24"/>
          <w:szCs w:val="24"/>
          <w:lang w:val="en-GB"/>
        </w:rPr>
        <w:t>.</w:t>
      </w:r>
    </w:p>
    <w:p w14:paraId="32B3A716" w14:textId="77777777" w:rsidR="00521E9C" w:rsidRPr="00164CED" w:rsidRDefault="00521E9C" w:rsidP="00521E9C">
      <w:pPr>
        <w:pStyle w:val="HTMLPreformatted"/>
        <w:shd w:val="clear" w:color="auto" w:fill="FFFFFF"/>
        <w:spacing w:line="360" w:lineRule="auto"/>
        <w:jc w:val="both"/>
        <w:rPr>
          <w:rFonts w:ascii="Times New Roman" w:hAnsi="Times New Roman" w:cs="Times New Roman"/>
          <w:i/>
          <w:color w:val="0D0D0D" w:themeColor="text1" w:themeTint="F2"/>
          <w:sz w:val="24"/>
          <w:szCs w:val="24"/>
          <w:lang w:val="en-GB"/>
        </w:rPr>
      </w:pPr>
      <w:r w:rsidRPr="00164CED">
        <w:rPr>
          <w:rFonts w:ascii="Times New Roman" w:hAnsi="Times New Roman" w:cs="Times New Roman"/>
          <w:color w:val="0D0D0D" w:themeColor="text1" w:themeTint="F2"/>
          <w:sz w:val="24"/>
          <w:szCs w:val="24"/>
          <w:lang w:val="en-GB"/>
        </w:rPr>
        <w:t xml:space="preserve">               Nowadays “</w:t>
      </w:r>
      <w:r w:rsidRPr="00521E9C">
        <w:rPr>
          <w:rFonts w:ascii="Times New Roman" w:hAnsi="Times New Roman" w:cs="Times New Roman"/>
          <w:color w:val="0D0D0D" w:themeColor="text1" w:themeTint="F2"/>
          <w:sz w:val="24"/>
          <w:szCs w:val="24"/>
          <w:lang w:val="en-GB"/>
        </w:rPr>
        <w:t>politics seems to be about imposing representations and about how representations serve the power</w:t>
      </w:r>
      <w:r w:rsidRPr="00164CED">
        <w:rPr>
          <w:rFonts w:ascii="Times New Roman" w:hAnsi="Times New Roman" w:cs="Times New Roman"/>
          <w:i/>
          <w:color w:val="0D0D0D" w:themeColor="text1" w:themeTint="F2"/>
          <w:sz w:val="24"/>
          <w:szCs w:val="24"/>
          <w:lang w:val="en-GB"/>
        </w:rPr>
        <w:t xml:space="preserve">” </w:t>
      </w:r>
      <w:r w:rsidRPr="00164CED">
        <w:rPr>
          <w:rFonts w:ascii="Times New Roman" w:hAnsi="Times New Roman" w:cs="Times New Roman"/>
          <w:color w:val="0D0D0D" w:themeColor="text1" w:themeTint="F2"/>
          <w:sz w:val="24"/>
          <w:szCs w:val="24"/>
          <w:lang w:val="en-GB"/>
        </w:rPr>
        <w:t xml:space="preserve">and that is why political discourse is similar to </w:t>
      </w:r>
      <w:r w:rsidRPr="00164CED">
        <w:rPr>
          <w:rFonts w:ascii="Times New Roman" w:hAnsi="Times New Roman" w:cs="Times New Roman"/>
          <w:i/>
          <w:color w:val="0D0D0D" w:themeColor="text1" w:themeTint="F2"/>
          <w:sz w:val="24"/>
          <w:szCs w:val="24"/>
          <w:lang w:val="en-GB"/>
        </w:rPr>
        <w:t>“</w:t>
      </w:r>
      <w:r w:rsidRPr="00521E9C">
        <w:rPr>
          <w:rFonts w:ascii="Times New Roman" w:hAnsi="Times New Roman" w:cs="Times New Roman"/>
          <w:color w:val="0D0D0D" w:themeColor="text1" w:themeTint="F2"/>
          <w:sz w:val="24"/>
          <w:szCs w:val="24"/>
          <w:lang w:val="en-GB"/>
        </w:rPr>
        <w:t>a struggle to impose the legitimate principle of vision and division</w:t>
      </w:r>
      <w:r w:rsidRPr="00164CED">
        <w:rPr>
          <w:rFonts w:ascii="Times New Roman" w:hAnsi="Times New Roman" w:cs="Times New Roman"/>
          <w:i/>
          <w:color w:val="0D0D0D" w:themeColor="text1" w:themeTint="F2"/>
          <w:sz w:val="24"/>
          <w:szCs w:val="24"/>
          <w:lang w:val="en-GB"/>
        </w:rPr>
        <w:t>”</w:t>
      </w:r>
      <w:r w:rsidRPr="00164CED">
        <w:rPr>
          <w:rStyle w:val="FootnoteReference"/>
          <w:rFonts w:ascii="Times New Roman" w:hAnsi="Times New Roman" w:cs="Times New Roman"/>
          <w:i/>
          <w:color w:val="0D0D0D" w:themeColor="text1" w:themeTint="F2"/>
          <w:sz w:val="24"/>
          <w:szCs w:val="24"/>
          <w:lang w:val="en-GB"/>
        </w:rPr>
        <w:footnoteReference w:id="3"/>
      </w:r>
      <w:r w:rsidRPr="00164CED">
        <w:rPr>
          <w:rFonts w:ascii="Times New Roman" w:hAnsi="Times New Roman" w:cs="Times New Roman"/>
          <w:i/>
          <w:color w:val="0D0D0D" w:themeColor="text1" w:themeTint="F2"/>
          <w:sz w:val="24"/>
          <w:szCs w:val="24"/>
          <w:lang w:val="en-GB"/>
        </w:rPr>
        <w:t>.</w:t>
      </w:r>
    </w:p>
    <w:p w14:paraId="311DC285" w14:textId="77777777" w:rsidR="00521E9C" w:rsidRPr="00164CED" w:rsidRDefault="00521E9C" w:rsidP="00521E9C">
      <w:pPr>
        <w:pStyle w:val="HTMLPreformatted"/>
        <w:shd w:val="clear" w:color="auto" w:fill="FFFFFF"/>
        <w:spacing w:line="360" w:lineRule="auto"/>
        <w:jc w:val="both"/>
        <w:rPr>
          <w:rFonts w:ascii="Times New Roman" w:hAnsi="Times New Roman" w:cs="Times New Roman"/>
          <w:i/>
          <w:color w:val="0D0D0D" w:themeColor="text1" w:themeTint="F2"/>
          <w:sz w:val="24"/>
          <w:szCs w:val="24"/>
          <w:lang w:val="en-GB"/>
        </w:rPr>
      </w:pPr>
      <w:r w:rsidRPr="00164CED">
        <w:rPr>
          <w:rFonts w:ascii="Times New Roman" w:hAnsi="Times New Roman" w:cs="Times New Roman"/>
          <w:i/>
          <w:color w:val="0D0D0D" w:themeColor="text1" w:themeTint="F2"/>
          <w:sz w:val="24"/>
          <w:szCs w:val="24"/>
          <w:lang w:val="en-GB"/>
        </w:rPr>
        <w:tab/>
      </w:r>
      <w:r w:rsidRPr="00164CED">
        <w:rPr>
          <w:rFonts w:ascii="Times New Roman" w:hAnsi="Times New Roman" w:cs="Times New Roman"/>
          <w:color w:val="0D0D0D" w:themeColor="text1" w:themeTint="F2"/>
          <w:sz w:val="24"/>
          <w:szCs w:val="24"/>
          <w:lang w:val="en-GB"/>
        </w:rPr>
        <w:t xml:space="preserve">The practitioners identified six types of political approaches: a) the performance of politics in front stage; b) the politicians in their everyday life or in the back stage; c) the charisma of politicians on performance; d) the mass-production of politicians; e) the </w:t>
      </w:r>
      <w:r w:rsidRPr="00164CED">
        <w:rPr>
          <w:rFonts w:ascii="Times New Roman" w:hAnsi="Times New Roman" w:cs="Times New Roman"/>
          <w:color w:val="0D0D0D" w:themeColor="text1" w:themeTint="F2"/>
          <w:sz w:val="24"/>
          <w:szCs w:val="24"/>
          <w:lang w:val="en-GB"/>
        </w:rPr>
        <w:lastRenderedPageBreak/>
        <w:t xml:space="preserve">recontextualization of politics in the media; f) participation in politics. If the arguments used do not achieve their purpose, the politicians use mass manipulation techniques, because </w:t>
      </w:r>
      <w:r w:rsidRPr="00164CED">
        <w:rPr>
          <w:rFonts w:ascii="Times New Roman" w:hAnsi="Times New Roman" w:cs="Times New Roman"/>
          <w:i/>
          <w:color w:val="0D0D0D" w:themeColor="text1" w:themeTint="F2"/>
          <w:sz w:val="24"/>
          <w:szCs w:val="24"/>
          <w:lang w:val="en-GB"/>
        </w:rPr>
        <w:t>“</w:t>
      </w:r>
      <w:r w:rsidRPr="00521E9C">
        <w:rPr>
          <w:rFonts w:ascii="Times New Roman" w:hAnsi="Times New Roman" w:cs="Times New Roman"/>
          <w:color w:val="0D0D0D" w:themeColor="text1" w:themeTint="F2"/>
          <w:sz w:val="24"/>
          <w:szCs w:val="24"/>
          <w:lang w:val="en-GB"/>
        </w:rPr>
        <w:t>politics are oriented towards decision-making that can ground action</w:t>
      </w:r>
      <w:r w:rsidRPr="00164CED">
        <w:rPr>
          <w:rFonts w:ascii="Times New Roman" w:hAnsi="Times New Roman" w:cs="Times New Roman"/>
          <w:i/>
          <w:color w:val="0D0D0D" w:themeColor="text1" w:themeTint="F2"/>
          <w:sz w:val="24"/>
          <w:szCs w:val="24"/>
          <w:lang w:val="en-GB"/>
        </w:rPr>
        <w:t>”</w:t>
      </w:r>
      <w:r w:rsidRPr="00164CED">
        <w:rPr>
          <w:rStyle w:val="FootnoteReference"/>
          <w:rFonts w:ascii="Times New Roman" w:hAnsi="Times New Roman" w:cs="Times New Roman"/>
          <w:i/>
          <w:color w:val="0D0D0D" w:themeColor="text1" w:themeTint="F2"/>
          <w:sz w:val="24"/>
          <w:szCs w:val="24"/>
          <w:lang w:val="en-GB"/>
        </w:rPr>
        <w:footnoteReference w:id="4"/>
      </w:r>
      <w:r w:rsidRPr="00164CED">
        <w:rPr>
          <w:rFonts w:ascii="Times New Roman" w:hAnsi="Times New Roman" w:cs="Times New Roman"/>
          <w:i/>
          <w:color w:val="0D0D0D" w:themeColor="text1" w:themeTint="F2"/>
          <w:sz w:val="24"/>
          <w:szCs w:val="24"/>
          <w:lang w:val="en-GB"/>
        </w:rPr>
        <w:t>.</w:t>
      </w:r>
    </w:p>
    <w:p w14:paraId="5DBC45C0" w14:textId="77777777" w:rsidR="00521E9C" w:rsidRPr="00164CED" w:rsidRDefault="00521E9C" w:rsidP="00521E9C">
      <w:pPr>
        <w:pStyle w:val="HTMLPreformatted"/>
        <w:shd w:val="clear" w:color="auto" w:fill="FFFFFF"/>
        <w:spacing w:line="360" w:lineRule="auto"/>
        <w:jc w:val="both"/>
        <w:rPr>
          <w:rFonts w:ascii="Times New Roman" w:hAnsi="Times New Roman" w:cs="Times New Roman"/>
          <w:i/>
          <w:color w:val="0D0D0D" w:themeColor="text1" w:themeTint="F2"/>
          <w:sz w:val="24"/>
          <w:szCs w:val="24"/>
          <w:lang w:val="en-GB"/>
        </w:rPr>
      </w:pPr>
      <w:r w:rsidRPr="00164CED">
        <w:rPr>
          <w:rFonts w:ascii="Times New Roman" w:hAnsi="Times New Roman" w:cs="Times New Roman"/>
          <w:i/>
          <w:color w:val="0D0D0D" w:themeColor="text1" w:themeTint="F2"/>
          <w:sz w:val="24"/>
          <w:szCs w:val="24"/>
          <w:lang w:val="en-GB"/>
        </w:rPr>
        <w:tab/>
      </w:r>
      <w:r w:rsidRPr="00164CED">
        <w:rPr>
          <w:rFonts w:ascii="Times New Roman" w:hAnsi="Times New Roman" w:cs="Times New Roman"/>
          <w:color w:val="0D0D0D" w:themeColor="text1" w:themeTint="F2"/>
          <w:sz w:val="24"/>
          <w:szCs w:val="24"/>
          <w:lang w:val="en-GB"/>
        </w:rPr>
        <w:t xml:space="preserve">The word speech is more and more used in political discourse. So what is this form of expression? The answer Aristotle gave us now more than two thousand years ago: </w:t>
      </w:r>
      <w:r w:rsidRPr="00164CED">
        <w:rPr>
          <w:rFonts w:ascii="Times New Roman" w:hAnsi="Times New Roman" w:cs="Times New Roman"/>
          <w:i/>
          <w:color w:val="0D0D0D" w:themeColor="text1" w:themeTint="F2"/>
          <w:sz w:val="24"/>
          <w:szCs w:val="24"/>
          <w:lang w:val="en-GB"/>
        </w:rPr>
        <w:t>“</w:t>
      </w:r>
      <w:r w:rsidRPr="00521E9C">
        <w:rPr>
          <w:rFonts w:ascii="Times New Roman" w:hAnsi="Times New Roman" w:cs="Times New Roman"/>
          <w:color w:val="0D0D0D" w:themeColor="text1" w:themeTint="F2"/>
          <w:sz w:val="24"/>
          <w:szCs w:val="24"/>
          <w:lang w:val="en-GB"/>
        </w:rPr>
        <w:t>Speech, on the other hand, serves to indicate what is useful and what is harmful, and so what is just and what is unjust. For the real difference between man and other animals is that human alone have the perception of good and evil, just and unjust, etc</w:t>
      </w:r>
      <w:r w:rsidRPr="00164CED">
        <w:rPr>
          <w:rFonts w:ascii="Times New Roman" w:hAnsi="Times New Roman" w:cs="Times New Roman"/>
          <w:i/>
          <w:color w:val="0D0D0D" w:themeColor="text1" w:themeTint="F2"/>
          <w:sz w:val="24"/>
          <w:szCs w:val="24"/>
          <w:lang w:val="en-GB"/>
        </w:rPr>
        <w:t>”</w:t>
      </w:r>
      <w:r w:rsidRPr="00164CED">
        <w:rPr>
          <w:rStyle w:val="FootnoteReference"/>
          <w:rFonts w:ascii="Times New Roman" w:hAnsi="Times New Roman" w:cs="Times New Roman"/>
          <w:i/>
          <w:color w:val="0D0D0D" w:themeColor="text1" w:themeTint="F2"/>
          <w:sz w:val="24"/>
          <w:szCs w:val="24"/>
          <w:lang w:val="en-GB"/>
        </w:rPr>
        <w:footnoteReference w:id="5"/>
      </w:r>
      <w:r w:rsidRPr="00164CED">
        <w:rPr>
          <w:rFonts w:ascii="Times New Roman" w:hAnsi="Times New Roman" w:cs="Times New Roman"/>
          <w:i/>
          <w:color w:val="0D0D0D" w:themeColor="text1" w:themeTint="F2"/>
          <w:sz w:val="24"/>
          <w:szCs w:val="24"/>
          <w:lang w:val="en-GB"/>
        </w:rPr>
        <w:t>.</w:t>
      </w:r>
      <w:r w:rsidRPr="00164CED">
        <w:rPr>
          <w:rFonts w:ascii="Times New Roman" w:hAnsi="Times New Roman" w:cs="Times New Roman"/>
          <w:color w:val="0D0D0D" w:themeColor="text1" w:themeTint="F2"/>
          <w:sz w:val="24"/>
          <w:szCs w:val="24"/>
          <w:lang w:val="en-GB"/>
        </w:rPr>
        <w:t xml:space="preserve"> Simon Vandenberg in 1992 and Lewis in 2004 demonstrated that the speaker pointed his position by an anticipatory gesture</w:t>
      </w:r>
      <w:r w:rsidRPr="00164CED">
        <w:rPr>
          <w:rStyle w:val="FootnoteReference"/>
          <w:rFonts w:ascii="Times New Roman" w:hAnsi="Times New Roman" w:cs="Times New Roman"/>
          <w:color w:val="0D0D0D" w:themeColor="text1" w:themeTint="F2"/>
          <w:sz w:val="24"/>
          <w:szCs w:val="24"/>
          <w:lang w:val="en-GB"/>
        </w:rPr>
        <w:footnoteReference w:id="6"/>
      </w:r>
      <w:r w:rsidRPr="00164CED">
        <w:rPr>
          <w:rFonts w:ascii="Times New Roman" w:hAnsi="Times New Roman" w:cs="Times New Roman"/>
          <w:color w:val="0D0D0D" w:themeColor="text1" w:themeTint="F2"/>
          <w:sz w:val="24"/>
          <w:szCs w:val="24"/>
          <w:lang w:val="en-GB"/>
        </w:rPr>
        <w:t xml:space="preserve">, like awareness, politeness and solidarity.             </w:t>
      </w:r>
    </w:p>
    <w:p w14:paraId="1ACCC3FF" w14:textId="77777777" w:rsidR="00521E9C" w:rsidRPr="00164CED" w:rsidRDefault="00521E9C" w:rsidP="00521E9C">
      <w:pPr>
        <w:pStyle w:val="HTMLPreformatted"/>
        <w:shd w:val="clear" w:color="auto" w:fill="FFFFFF"/>
        <w:spacing w:line="360" w:lineRule="auto"/>
        <w:jc w:val="both"/>
        <w:rPr>
          <w:rFonts w:ascii="Times New Roman" w:hAnsi="Times New Roman" w:cs="Times New Roman"/>
          <w:i/>
          <w:color w:val="0D0D0D" w:themeColor="text1" w:themeTint="F2"/>
          <w:sz w:val="24"/>
          <w:szCs w:val="24"/>
          <w:lang w:val="en-GB"/>
        </w:rPr>
      </w:pPr>
      <w:r w:rsidRPr="00164CED">
        <w:rPr>
          <w:rFonts w:ascii="Times New Roman" w:hAnsi="Times New Roman" w:cs="Times New Roman"/>
          <w:i/>
          <w:color w:val="0D0D0D" w:themeColor="text1" w:themeTint="F2"/>
          <w:sz w:val="24"/>
          <w:szCs w:val="24"/>
          <w:lang w:val="en-GB"/>
        </w:rPr>
        <w:tab/>
      </w:r>
      <w:r w:rsidRPr="00164CED">
        <w:rPr>
          <w:rFonts w:ascii="Times New Roman" w:hAnsi="Times New Roman" w:cs="Times New Roman"/>
          <w:color w:val="0D0D0D" w:themeColor="text1" w:themeTint="F2"/>
          <w:sz w:val="24"/>
          <w:szCs w:val="24"/>
          <w:lang w:val="en-GB"/>
        </w:rPr>
        <w:t xml:space="preserve">In a political discourse, the transmitter pursues a goal outside their speech by which it is capable to change the receiver’s thoughts. The arguments can be: deductive, inductive or conductive in order to persuade the receiver by offering reasons. But the manipulation is </w:t>
      </w:r>
      <w:r w:rsidRPr="00164CED">
        <w:rPr>
          <w:rFonts w:ascii="Times New Roman" w:hAnsi="Times New Roman" w:cs="Times New Roman"/>
          <w:i/>
          <w:color w:val="0D0D0D" w:themeColor="text1" w:themeTint="F2"/>
          <w:sz w:val="24"/>
          <w:szCs w:val="24"/>
          <w:lang w:val="en-GB"/>
        </w:rPr>
        <w:t>“</w:t>
      </w:r>
      <w:r w:rsidRPr="00521E9C">
        <w:rPr>
          <w:rFonts w:ascii="Times New Roman" w:hAnsi="Times New Roman" w:cs="Times New Roman"/>
          <w:color w:val="0D0D0D" w:themeColor="text1" w:themeTint="F2"/>
          <w:sz w:val="24"/>
          <w:szCs w:val="24"/>
          <w:lang w:val="en-GB"/>
        </w:rPr>
        <w:t>always intentional and always convert and that the arguer is violating the sincerity (responsibility) condition of the speech act of argumentation: a preposition is presented as an acceptable justification of a claim while the arguer does not really believe that it constitutes an acceptable justification</w:t>
      </w:r>
      <w:r w:rsidRPr="00164CED">
        <w:rPr>
          <w:rFonts w:ascii="Times New Roman" w:hAnsi="Times New Roman" w:cs="Times New Roman"/>
          <w:i/>
          <w:color w:val="0D0D0D" w:themeColor="text1" w:themeTint="F2"/>
          <w:sz w:val="24"/>
          <w:szCs w:val="24"/>
          <w:lang w:val="en-GB"/>
        </w:rPr>
        <w:t>”</w:t>
      </w:r>
      <w:r w:rsidRPr="00164CED">
        <w:rPr>
          <w:rStyle w:val="FootnoteReference"/>
          <w:rFonts w:ascii="Times New Roman" w:hAnsi="Times New Roman" w:cs="Times New Roman"/>
          <w:i/>
          <w:color w:val="0D0D0D" w:themeColor="text1" w:themeTint="F2"/>
          <w:sz w:val="24"/>
          <w:szCs w:val="24"/>
          <w:lang w:val="en-GB"/>
        </w:rPr>
        <w:footnoteReference w:id="7"/>
      </w:r>
      <w:r w:rsidRPr="00164CED">
        <w:rPr>
          <w:rFonts w:ascii="Times New Roman" w:hAnsi="Times New Roman" w:cs="Times New Roman"/>
          <w:i/>
          <w:color w:val="0D0D0D" w:themeColor="text1" w:themeTint="F2"/>
          <w:sz w:val="24"/>
          <w:szCs w:val="24"/>
          <w:lang w:val="en-GB"/>
        </w:rPr>
        <w:t>.</w:t>
      </w:r>
    </w:p>
    <w:p w14:paraId="3C87E108" w14:textId="77777777" w:rsidR="00521E9C" w:rsidRPr="00164CED" w:rsidRDefault="00521E9C" w:rsidP="00521E9C">
      <w:pPr>
        <w:pStyle w:val="HTMLPreformatted"/>
        <w:shd w:val="clear" w:color="auto" w:fill="FFFFFF"/>
        <w:spacing w:line="360" w:lineRule="auto"/>
        <w:jc w:val="both"/>
        <w:rPr>
          <w:rFonts w:ascii="Times New Roman" w:hAnsi="Times New Roman" w:cs="Times New Roman"/>
          <w:color w:val="0D0D0D" w:themeColor="text1" w:themeTint="F2"/>
          <w:sz w:val="24"/>
          <w:szCs w:val="24"/>
          <w:lang w:val="en-GB"/>
        </w:rPr>
      </w:pPr>
      <w:r w:rsidRPr="00164CED">
        <w:rPr>
          <w:rFonts w:ascii="Times New Roman" w:hAnsi="Times New Roman" w:cs="Times New Roman"/>
          <w:color w:val="0D0D0D" w:themeColor="text1" w:themeTint="F2"/>
          <w:sz w:val="24"/>
          <w:szCs w:val="24"/>
          <w:lang w:val="en-GB"/>
        </w:rPr>
        <w:tab/>
        <w:t xml:space="preserve">In the political discourse, several types of </w:t>
      </w:r>
      <w:r w:rsidRPr="00521E9C">
        <w:rPr>
          <w:rFonts w:ascii="Times New Roman" w:hAnsi="Times New Roman" w:cs="Times New Roman"/>
          <w:color w:val="0D0D0D" w:themeColor="text1" w:themeTint="F2"/>
          <w:sz w:val="24"/>
          <w:szCs w:val="24"/>
          <w:lang w:val="en-GB"/>
        </w:rPr>
        <w:t>strategic functions can</w:t>
      </w:r>
      <w:r w:rsidRPr="00164CED">
        <w:rPr>
          <w:rFonts w:ascii="Times New Roman" w:hAnsi="Times New Roman" w:cs="Times New Roman"/>
          <w:color w:val="0D0D0D" w:themeColor="text1" w:themeTint="F2"/>
          <w:sz w:val="24"/>
          <w:szCs w:val="24"/>
          <w:lang w:val="en-GB"/>
        </w:rPr>
        <w:t xml:space="preserve"> be found</w:t>
      </w:r>
      <w:r w:rsidRPr="00164CED">
        <w:rPr>
          <w:rStyle w:val="FootnoteReference"/>
          <w:rFonts w:ascii="Times New Roman" w:hAnsi="Times New Roman" w:cs="Times New Roman"/>
          <w:color w:val="0D0D0D" w:themeColor="text1" w:themeTint="F2"/>
          <w:sz w:val="24"/>
          <w:szCs w:val="24"/>
          <w:lang w:val="en-GB"/>
        </w:rPr>
        <w:footnoteReference w:id="8"/>
      </w:r>
      <w:r w:rsidRPr="00164CED">
        <w:rPr>
          <w:rFonts w:ascii="Times New Roman" w:hAnsi="Times New Roman" w:cs="Times New Roman"/>
          <w:color w:val="0D0D0D" w:themeColor="text1" w:themeTint="F2"/>
          <w:sz w:val="24"/>
          <w:szCs w:val="24"/>
          <w:lang w:val="en-GB"/>
        </w:rPr>
        <w:t>:</w:t>
      </w:r>
    </w:p>
    <w:p w14:paraId="43D0D01D" w14:textId="77777777" w:rsidR="00521E9C" w:rsidRPr="00164CED" w:rsidRDefault="00521E9C" w:rsidP="00521E9C">
      <w:pPr>
        <w:pStyle w:val="HTMLPreformatted"/>
        <w:shd w:val="clear" w:color="auto" w:fill="FFFFFF"/>
        <w:spacing w:line="360" w:lineRule="auto"/>
        <w:jc w:val="both"/>
        <w:rPr>
          <w:rFonts w:ascii="Times New Roman" w:hAnsi="Times New Roman" w:cs="Times New Roman"/>
          <w:color w:val="0D0D0D" w:themeColor="text1" w:themeTint="F2"/>
          <w:sz w:val="24"/>
          <w:szCs w:val="24"/>
          <w:lang w:val="en-GB"/>
        </w:rPr>
      </w:pPr>
      <w:r w:rsidRPr="00164CED">
        <w:rPr>
          <w:rFonts w:ascii="Times New Roman" w:hAnsi="Times New Roman" w:cs="Times New Roman"/>
          <w:color w:val="0D0D0D" w:themeColor="text1" w:themeTint="F2"/>
          <w:sz w:val="24"/>
          <w:szCs w:val="24"/>
          <w:lang w:val="en-GB"/>
        </w:rPr>
        <w:t>a. coercion - Politicians carefully choose their discussion topics, the position they adopt during speech is very important.</w:t>
      </w:r>
    </w:p>
    <w:p w14:paraId="3CCCCB11" w14:textId="77777777" w:rsidR="00521E9C" w:rsidRPr="00164CED" w:rsidRDefault="00521E9C" w:rsidP="00521E9C">
      <w:pPr>
        <w:pStyle w:val="HTMLPreformatted"/>
        <w:shd w:val="clear" w:color="auto" w:fill="FFFFFF"/>
        <w:spacing w:line="360" w:lineRule="auto"/>
        <w:jc w:val="both"/>
        <w:rPr>
          <w:rFonts w:ascii="Times New Roman" w:hAnsi="Times New Roman" w:cs="Times New Roman"/>
          <w:color w:val="0D0D0D" w:themeColor="text1" w:themeTint="F2"/>
          <w:sz w:val="24"/>
          <w:szCs w:val="24"/>
          <w:lang w:val="en-GB"/>
        </w:rPr>
      </w:pPr>
      <w:r w:rsidRPr="00164CED">
        <w:rPr>
          <w:rFonts w:ascii="Times New Roman" w:hAnsi="Times New Roman" w:cs="Times New Roman"/>
          <w:color w:val="0D0D0D" w:themeColor="text1" w:themeTint="F2"/>
          <w:sz w:val="24"/>
          <w:szCs w:val="24"/>
          <w:lang w:val="en-GB"/>
        </w:rPr>
        <w:t>b. legitimisation and delegitimisation - by legitimisation the masses listen to the speech, they are forced to listen, and by delegitimisation the others are presented as enemies, so the discourse is accusatory.</w:t>
      </w:r>
    </w:p>
    <w:p w14:paraId="17971F8C" w14:textId="77777777" w:rsidR="00521E9C" w:rsidRPr="00164CED" w:rsidRDefault="00521E9C" w:rsidP="00521E9C">
      <w:pPr>
        <w:pStyle w:val="HTMLPreformatted"/>
        <w:shd w:val="clear" w:color="auto" w:fill="FFFFFF"/>
        <w:spacing w:line="360" w:lineRule="auto"/>
        <w:jc w:val="both"/>
        <w:rPr>
          <w:rFonts w:ascii="Times New Roman" w:hAnsi="Times New Roman" w:cs="Times New Roman"/>
          <w:color w:val="0D0D0D" w:themeColor="text1" w:themeTint="F2"/>
          <w:sz w:val="24"/>
          <w:szCs w:val="24"/>
          <w:lang w:val="en-GB"/>
        </w:rPr>
      </w:pPr>
      <w:r w:rsidRPr="00164CED">
        <w:rPr>
          <w:rFonts w:ascii="Times New Roman" w:hAnsi="Times New Roman" w:cs="Times New Roman"/>
          <w:color w:val="0D0D0D" w:themeColor="text1" w:themeTint="F2"/>
          <w:sz w:val="24"/>
          <w:szCs w:val="24"/>
          <w:lang w:val="en-GB"/>
        </w:rPr>
        <w:t>c. representation and misrepresentation - speech can be censored, information hidden to the public, or false information provided.</w:t>
      </w:r>
    </w:p>
    <w:p w14:paraId="1BA20591" w14:textId="77777777" w:rsidR="00521E9C" w:rsidRPr="00164CED" w:rsidRDefault="00521E9C" w:rsidP="00521E9C">
      <w:pPr>
        <w:pStyle w:val="HTMLPreformatted"/>
        <w:shd w:val="clear" w:color="auto" w:fill="FFFFFF"/>
        <w:spacing w:line="360" w:lineRule="auto"/>
        <w:jc w:val="both"/>
        <w:rPr>
          <w:rFonts w:ascii="Times New Roman" w:hAnsi="Times New Roman" w:cs="Times New Roman"/>
          <w:color w:val="0D0D0D" w:themeColor="text1" w:themeTint="F2"/>
          <w:sz w:val="24"/>
          <w:szCs w:val="24"/>
          <w:lang w:val="en-GB"/>
        </w:rPr>
      </w:pPr>
      <w:r w:rsidRPr="00164CED">
        <w:rPr>
          <w:rFonts w:ascii="Times New Roman" w:hAnsi="Times New Roman" w:cs="Times New Roman"/>
          <w:color w:val="0D0D0D" w:themeColor="text1" w:themeTint="F2"/>
          <w:sz w:val="24"/>
          <w:szCs w:val="24"/>
          <w:lang w:val="en-GB"/>
        </w:rPr>
        <w:tab/>
        <w:t xml:space="preserve">To have an honest discourse is necessary to respect the maxims of quantity, quality and manner. But the politicians use the legitimisation for their own purposes and the deligitimisation to characterised the others in a negative way, by blaming, attacking the common sense, the morality. The questions have two functions: </w:t>
      </w:r>
      <w:r w:rsidRPr="00164CED">
        <w:rPr>
          <w:rFonts w:ascii="Times New Roman" w:hAnsi="Times New Roman" w:cs="Times New Roman"/>
          <w:i/>
          <w:color w:val="0D0D0D" w:themeColor="text1" w:themeTint="F2"/>
          <w:sz w:val="24"/>
          <w:szCs w:val="24"/>
          <w:lang w:val="en-GB"/>
        </w:rPr>
        <w:t>“to obtain information or to press to action”</w:t>
      </w:r>
      <w:r w:rsidRPr="00164CED">
        <w:rPr>
          <w:rFonts w:ascii="Times New Roman" w:hAnsi="Times New Roman" w:cs="Times New Roman"/>
          <w:color w:val="0D0D0D" w:themeColor="text1" w:themeTint="F2"/>
          <w:sz w:val="24"/>
          <w:szCs w:val="24"/>
          <w:lang w:val="en-GB"/>
        </w:rPr>
        <w:t xml:space="preserve"> being “</w:t>
      </w:r>
      <w:r w:rsidRPr="00164CED">
        <w:rPr>
          <w:rFonts w:ascii="Times New Roman" w:hAnsi="Times New Roman" w:cs="Times New Roman"/>
          <w:i/>
          <w:color w:val="0D0D0D" w:themeColor="text1" w:themeTint="F2"/>
          <w:sz w:val="24"/>
          <w:szCs w:val="24"/>
          <w:lang w:val="en-GB"/>
        </w:rPr>
        <w:t>weapons in the party battle”</w:t>
      </w:r>
      <w:r w:rsidRPr="00164CED">
        <w:rPr>
          <w:rStyle w:val="FootnoteReference"/>
          <w:rFonts w:ascii="Times New Roman" w:hAnsi="Times New Roman" w:cs="Times New Roman"/>
          <w:i/>
          <w:color w:val="0D0D0D" w:themeColor="text1" w:themeTint="F2"/>
          <w:sz w:val="24"/>
          <w:szCs w:val="24"/>
          <w:lang w:val="en-GB"/>
        </w:rPr>
        <w:footnoteReference w:id="9"/>
      </w:r>
      <w:r w:rsidRPr="00164CED">
        <w:rPr>
          <w:rFonts w:ascii="Times New Roman" w:hAnsi="Times New Roman" w:cs="Times New Roman"/>
          <w:color w:val="0D0D0D" w:themeColor="text1" w:themeTint="F2"/>
          <w:sz w:val="24"/>
          <w:szCs w:val="24"/>
          <w:lang w:val="en-GB"/>
        </w:rPr>
        <w:t>. We can observe that British policies have a difficulty to identify the problems and to offer solutions to the global warming, the immigration and the terrorism.</w:t>
      </w:r>
    </w:p>
    <w:p w14:paraId="31BC5EFF" w14:textId="77777777" w:rsidR="00521E9C" w:rsidRPr="00164CED" w:rsidRDefault="00521E9C" w:rsidP="00521E9C">
      <w:pPr>
        <w:pStyle w:val="HTMLPreformatted"/>
        <w:shd w:val="clear" w:color="auto" w:fill="FFFFFF"/>
        <w:spacing w:line="360" w:lineRule="auto"/>
        <w:jc w:val="both"/>
        <w:rPr>
          <w:rFonts w:ascii="Times New Roman" w:hAnsi="Times New Roman" w:cs="Times New Roman"/>
          <w:color w:val="0D0D0D" w:themeColor="text1" w:themeTint="F2"/>
          <w:sz w:val="24"/>
          <w:szCs w:val="24"/>
          <w:lang w:val="en-GB"/>
        </w:rPr>
      </w:pPr>
      <w:r w:rsidRPr="00164CED">
        <w:rPr>
          <w:rFonts w:ascii="Times New Roman" w:hAnsi="Times New Roman" w:cs="Times New Roman"/>
          <w:color w:val="0D0D0D" w:themeColor="text1" w:themeTint="F2"/>
          <w:sz w:val="24"/>
          <w:szCs w:val="24"/>
          <w:lang w:val="en-GB"/>
        </w:rPr>
        <w:tab/>
        <w:t>The political discourse is constructed with the practical argumentation. To argue means giving and receiving reasons, to decide and to act properly.</w:t>
      </w:r>
    </w:p>
    <w:p w14:paraId="229535E1" w14:textId="77777777" w:rsidR="00521E9C" w:rsidRPr="00164CED" w:rsidRDefault="00521E9C" w:rsidP="00521E9C">
      <w:pPr>
        <w:pStyle w:val="HTMLPreformatted"/>
        <w:shd w:val="clear" w:color="auto" w:fill="FFFFFF"/>
        <w:spacing w:line="360" w:lineRule="auto"/>
        <w:jc w:val="both"/>
        <w:rPr>
          <w:rFonts w:ascii="Times New Roman" w:hAnsi="Times New Roman" w:cs="Times New Roman"/>
          <w:color w:val="0D0D0D" w:themeColor="text1" w:themeTint="F2"/>
          <w:sz w:val="24"/>
          <w:szCs w:val="24"/>
          <w:lang w:val="en-GB"/>
        </w:rPr>
      </w:pPr>
      <w:r w:rsidRPr="00164CED">
        <w:rPr>
          <w:rFonts w:ascii="Times New Roman" w:hAnsi="Times New Roman" w:cs="Times New Roman"/>
          <w:color w:val="0D0D0D" w:themeColor="text1" w:themeTint="F2"/>
          <w:sz w:val="24"/>
          <w:szCs w:val="24"/>
          <w:lang w:val="en-GB"/>
        </w:rPr>
        <w:tab/>
        <w:t>The distinction based on practical argument is the following one</w:t>
      </w:r>
      <w:r w:rsidRPr="00164CED">
        <w:rPr>
          <w:rStyle w:val="FootnoteReference"/>
          <w:rFonts w:ascii="Times New Roman" w:hAnsi="Times New Roman" w:cs="Times New Roman"/>
          <w:color w:val="0D0D0D" w:themeColor="text1" w:themeTint="F2"/>
          <w:sz w:val="24"/>
          <w:szCs w:val="24"/>
          <w:lang w:val="en-GB"/>
        </w:rPr>
        <w:footnoteReference w:id="10"/>
      </w:r>
      <w:r w:rsidRPr="00164CED">
        <w:rPr>
          <w:rFonts w:ascii="Times New Roman" w:hAnsi="Times New Roman" w:cs="Times New Roman"/>
          <w:color w:val="0D0D0D" w:themeColor="text1" w:themeTint="F2"/>
          <w:sz w:val="24"/>
          <w:szCs w:val="24"/>
          <w:lang w:val="en-GB"/>
        </w:rPr>
        <w:t>:</w:t>
      </w:r>
    </w:p>
    <w:p w14:paraId="5140B907" w14:textId="77777777" w:rsidR="00521E9C" w:rsidRPr="00164CED" w:rsidRDefault="00521E9C" w:rsidP="00521E9C">
      <w:pPr>
        <w:pStyle w:val="HTMLPreformatted"/>
        <w:numPr>
          <w:ilvl w:val="0"/>
          <w:numId w:val="1"/>
        </w:numPr>
        <w:shd w:val="clear" w:color="auto" w:fill="FFFFFF"/>
        <w:spacing w:line="360" w:lineRule="auto"/>
        <w:jc w:val="both"/>
        <w:rPr>
          <w:rFonts w:ascii="Times New Roman" w:hAnsi="Times New Roman" w:cs="Times New Roman"/>
          <w:color w:val="0D0D0D" w:themeColor="text1" w:themeTint="F2"/>
          <w:sz w:val="24"/>
          <w:szCs w:val="24"/>
          <w:lang w:val="en-GB"/>
        </w:rPr>
      </w:pPr>
      <w:r w:rsidRPr="00164CED">
        <w:rPr>
          <w:rFonts w:ascii="Times New Roman" w:hAnsi="Times New Roman" w:cs="Times New Roman"/>
          <w:color w:val="0D0D0D" w:themeColor="text1" w:themeTint="F2"/>
          <w:sz w:val="24"/>
          <w:szCs w:val="24"/>
          <w:lang w:val="en-GB"/>
        </w:rPr>
        <w:t>Argument for getting back to normal, from non-systemic account of crisis;</w:t>
      </w:r>
    </w:p>
    <w:p w14:paraId="3B07158A" w14:textId="77777777" w:rsidR="00521E9C" w:rsidRPr="00164CED" w:rsidRDefault="00521E9C" w:rsidP="00521E9C">
      <w:pPr>
        <w:pStyle w:val="HTMLPreformatted"/>
        <w:numPr>
          <w:ilvl w:val="0"/>
          <w:numId w:val="1"/>
        </w:numPr>
        <w:shd w:val="clear" w:color="auto" w:fill="FFFFFF"/>
        <w:spacing w:line="360" w:lineRule="auto"/>
        <w:jc w:val="both"/>
        <w:rPr>
          <w:rFonts w:ascii="Times New Roman" w:hAnsi="Times New Roman" w:cs="Times New Roman"/>
          <w:color w:val="0D0D0D" w:themeColor="text1" w:themeTint="F2"/>
          <w:sz w:val="24"/>
          <w:szCs w:val="24"/>
          <w:lang w:val="en-GB"/>
        </w:rPr>
      </w:pPr>
      <w:r w:rsidRPr="00164CED">
        <w:rPr>
          <w:rFonts w:ascii="Times New Roman" w:hAnsi="Times New Roman" w:cs="Times New Roman"/>
          <w:color w:val="0D0D0D" w:themeColor="text1" w:themeTint="F2"/>
          <w:sz w:val="24"/>
          <w:szCs w:val="24"/>
          <w:lang w:val="en-GB"/>
        </w:rPr>
        <w:t>Argument for radical change, from systemic account of crisis.</w:t>
      </w:r>
    </w:p>
    <w:p w14:paraId="19D21A5D" w14:textId="77777777" w:rsidR="00521E9C" w:rsidRPr="00164CED" w:rsidRDefault="00521E9C" w:rsidP="00521E9C">
      <w:pPr>
        <w:pStyle w:val="HTMLPreformatted"/>
        <w:shd w:val="clear" w:color="auto" w:fill="FFFFFF"/>
        <w:spacing w:line="360" w:lineRule="auto"/>
        <w:jc w:val="both"/>
        <w:rPr>
          <w:rFonts w:ascii="Times New Roman" w:hAnsi="Times New Roman" w:cs="Times New Roman"/>
          <w:color w:val="0D0D0D" w:themeColor="text1" w:themeTint="F2"/>
          <w:sz w:val="24"/>
          <w:szCs w:val="24"/>
          <w:lang w:val="en-GB"/>
        </w:rPr>
      </w:pPr>
      <w:r w:rsidRPr="00164CED">
        <w:rPr>
          <w:rFonts w:ascii="Times New Roman" w:hAnsi="Times New Roman" w:cs="Times New Roman"/>
          <w:color w:val="0D0D0D" w:themeColor="text1" w:themeTint="F2"/>
          <w:sz w:val="24"/>
          <w:szCs w:val="24"/>
          <w:lang w:val="en-GB"/>
        </w:rPr>
        <w:tab/>
        <w:t xml:space="preserve">The political discourse is </w:t>
      </w:r>
      <w:r w:rsidRPr="00164CED">
        <w:rPr>
          <w:rFonts w:ascii="Times New Roman" w:hAnsi="Times New Roman" w:cs="Times New Roman"/>
          <w:i/>
          <w:color w:val="0D0D0D" w:themeColor="text1" w:themeTint="F2"/>
          <w:sz w:val="24"/>
          <w:szCs w:val="24"/>
          <w:lang w:val="en-GB"/>
        </w:rPr>
        <w:t>“</w:t>
      </w:r>
      <w:r w:rsidRPr="00521E9C">
        <w:rPr>
          <w:rFonts w:ascii="Times New Roman" w:hAnsi="Times New Roman" w:cs="Times New Roman"/>
          <w:color w:val="0D0D0D" w:themeColor="text1" w:themeTint="F2"/>
          <w:sz w:val="24"/>
          <w:szCs w:val="24"/>
          <w:lang w:val="en-GB"/>
        </w:rPr>
        <w:t>attached to political actors – individuals (politicians, citizen), political institutions and organizations engaged in political processes and events – and his emphasis that notion of context is essential to the understanding of political discourse</w:t>
      </w:r>
      <w:r w:rsidRPr="00164CED">
        <w:rPr>
          <w:rFonts w:ascii="Times New Roman" w:hAnsi="Times New Roman" w:cs="Times New Roman"/>
          <w:i/>
          <w:color w:val="0D0D0D" w:themeColor="text1" w:themeTint="F2"/>
          <w:sz w:val="24"/>
          <w:szCs w:val="24"/>
          <w:lang w:val="en-GB"/>
        </w:rPr>
        <w:t>”</w:t>
      </w:r>
      <w:r w:rsidRPr="00164CED">
        <w:rPr>
          <w:rStyle w:val="FootnoteReference"/>
          <w:rFonts w:ascii="Times New Roman" w:hAnsi="Times New Roman" w:cs="Times New Roman"/>
          <w:i/>
          <w:color w:val="0D0D0D" w:themeColor="text1" w:themeTint="F2"/>
          <w:sz w:val="24"/>
          <w:szCs w:val="24"/>
          <w:lang w:val="en-GB"/>
        </w:rPr>
        <w:footnoteReference w:id="11"/>
      </w:r>
      <w:r w:rsidRPr="00164CED">
        <w:rPr>
          <w:rFonts w:ascii="Times New Roman" w:hAnsi="Times New Roman" w:cs="Times New Roman"/>
          <w:i/>
          <w:color w:val="0D0D0D" w:themeColor="text1" w:themeTint="F2"/>
          <w:sz w:val="24"/>
          <w:szCs w:val="24"/>
          <w:lang w:val="en-GB"/>
        </w:rPr>
        <w:t>.</w:t>
      </w:r>
      <w:r w:rsidRPr="00164CED">
        <w:rPr>
          <w:rFonts w:ascii="Times New Roman" w:hAnsi="Times New Roman" w:cs="Times New Roman"/>
          <w:color w:val="0D0D0D" w:themeColor="text1" w:themeTint="F2"/>
          <w:sz w:val="24"/>
          <w:szCs w:val="24"/>
          <w:lang w:val="en-GB"/>
        </w:rPr>
        <w:t xml:space="preserve">   </w:t>
      </w:r>
    </w:p>
    <w:p w14:paraId="2C4A2359" w14:textId="77777777" w:rsidR="00521E9C" w:rsidRPr="00164CED" w:rsidRDefault="00521E9C" w:rsidP="00521E9C">
      <w:pPr>
        <w:pStyle w:val="HTMLPreformatted"/>
        <w:shd w:val="clear" w:color="auto" w:fill="FFFFFF"/>
        <w:spacing w:line="360" w:lineRule="auto"/>
        <w:jc w:val="both"/>
        <w:rPr>
          <w:rFonts w:ascii="Times New Roman" w:hAnsi="Times New Roman" w:cs="Times New Roman"/>
          <w:color w:val="0D0D0D" w:themeColor="text1" w:themeTint="F2"/>
          <w:sz w:val="24"/>
          <w:szCs w:val="24"/>
          <w:lang w:val="en-GB"/>
        </w:rPr>
      </w:pPr>
      <w:r w:rsidRPr="00164CED">
        <w:rPr>
          <w:rFonts w:ascii="Times New Roman" w:hAnsi="Times New Roman" w:cs="Times New Roman"/>
          <w:color w:val="0D0D0D" w:themeColor="text1" w:themeTint="F2"/>
          <w:sz w:val="24"/>
          <w:szCs w:val="24"/>
          <w:lang w:val="en-GB"/>
        </w:rPr>
        <w:tab/>
        <w:t>.</w:t>
      </w:r>
    </w:p>
    <w:p w14:paraId="333AE4B3" w14:textId="77777777" w:rsidR="00AC1938" w:rsidRPr="00521E9C" w:rsidRDefault="00F949EA">
      <w:pPr>
        <w:rPr>
          <w:lang w:val="en-GB"/>
        </w:rPr>
      </w:pPr>
    </w:p>
    <w:sectPr w:rsidR="00AC1938" w:rsidRPr="00521E9C" w:rsidSect="00D0181E">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911D0F0" w14:textId="77777777" w:rsidR="00F949EA" w:rsidRDefault="00F949EA" w:rsidP="00521E9C">
      <w:pPr>
        <w:spacing w:after="0" w:line="240" w:lineRule="auto"/>
      </w:pPr>
      <w:r>
        <w:separator/>
      </w:r>
    </w:p>
  </w:endnote>
  <w:endnote w:type="continuationSeparator" w:id="0">
    <w:p w14:paraId="253303A1" w14:textId="77777777" w:rsidR="00F949EA" w:rsidRDefault="00F949EA" w:rsidP="00521E9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A00002EF" w:usb1="4000004B"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B6A385C" w14:textId="77777777" w:rsidR="00F949EA" w:rsidRDefault="00F949EA" w:rsidP="00521E9C">
      <w:pPr>
        <w:spacing w:after="0" w:line="240" w:lineRule="auto"/>
      </w:pPr>
      <w:r>
        <w:separator/>
      </w:r>
    </w:p>
  </w:footnote>
  <w:footnote w:type="continuationSeparator" w:id="0">
    <w:p w14:paraId="5035BC36" w14:textId="77777777" w:rsidR="00F949EA" w:rsidRDefault="00F949EA" w:rsidP="00521E9C">
      <w:pPr>
        <w:spacing w:after="0" w:line="240" w:lineRule="auto"/>
      </w:pPr>
      <w:r>
        <w:continuationSeparator/>
      </w:r>
    </w:p>
  </w:footnote>
  <w:footnote w:id="1">
    <w:p w14:paraId="71BC66AE" w14:textId="77777777" w:rsidR="00521E9C" w:rsidRDefault="00521E9C" w:rsidP="00521E9C">
      <w:pPr>
        <w:pStyle w:val="FootnoteText"/>
        <w:jc w:val="both"/>
        <w:rPr>
          <w:rFonts w:ascii="Times New Roman" w:hAnsi="Times New Roman" w:cs="Times New Roman"/>
          <w:lang w:val="en-US"/>
        </w:rPr>
      </w:pPr>
      <w:r>
        <w:rPr>
          <w:rStyle w:val="FootnoteReference"/>
        </w:rPr>
        <w:footnoteRef/>
      </w:r>
      <w:r>
        <w:t xml:space="preserve"> </w:t>
      </w:r>
      <w:r w:rsidRPr="006C17D9">
        <w:rPr>
          <w:rFonts w:ascii="Times New Roman" w:hAnsi="Times New Roman" w:cs="Times New Roman"/>
        </w:rPr>
        <w:t>Anita Fetzer, Gerda Eva Lauerbach,</w:t>
      </w:r>
      <w:r>
        <w:t xml:space="preserve"> </w:t>
      </w:r>
      <w:r w:rsidRPr="006C17D9">
        <w:rPr>
          <w:rFonts w:ascii="Times New Roman" w:hAnsi="Times New Roman" w:cs="Times New Roman"/>
          <w:i/>
          <w:lang w:val="en-US"/>
        </w:rPr>
        <w:t>Political Discourse in Media</w:t>
      </w:r>
      <w:r w:rsidRPr="001D39B9">
        <w:rPr>
          <w:rFonts w:ascii="Times New Roman" w:hAnsi="Times New Roman" w:cs="Times New Roman"/>
          <w:lang w:val="en-US"/>
        </w:rPr>
        <w:t xml:space="preserve">, </w:t>
      </w:r>
      <w:r>
        <w:rPr>
          <w:rFonts w:ascii="Times New Roman" w:hAnsi="Times New Roman" w:cs="Times New Roman"/>
          <w:lang w:val="en-US"/>
        </w:rPr>
        <w:t xml:space="preserve">John Benjamins Publishing Company, 2007, </w:t>
      </w:r>
    </w:p>
    <w:p w14:paraId="63BC053D" w14:textId="77777777" w:rsidR="00521E9C" w:rsidRPr="001D39B9" w:rsidRDefault="00521E9C" w:rsidP="00521E9C">
      <w:pPr>
        <w:pStyle w:val="FootnoteText"/>
        <w:jc w:val="both"/>
        <w:rPr>
          <w:lang w:val="en-US"/>
        </w:rPr>
      </w:pPr>
      <w:r w:rsidRPr="001D39B9">
        <w:rPr>
          <w:rFonts w:ascii="Times New Roman" w:hAnsi="Times New Roman" w:cs="Times New Roman"/>
          <w:lang w:val="en-US"/>
        </w:rPr>
        <w:t>p.</w:t>
      </w:r>
      <w:r>
        <w:rPr>
          <w:rFonts w:ascii="Times New Roman" w:hAnsi="Times New Roman" w:cs="Times New Roman"/>
          <w:lang w:val="en-US"/>
        </w:rPr>
        <w:t xml:space="preserve"> </w:t>
      </w:r>
      <w:r w:rsidRPr="001D39B9">
        <w:rPr>
          <w:rFonts w:ascii="Times New Roman" w:hAnsi="Times New Roman" w:cs="Times New Roman"/>
          <w:lang w:val="en-US"/>
        </w:rPr>
        <w:t>33</w:t>
      </w:r>
      <w:r>
        <w:rPr>
          <w:rFonts w:ascii="Times New Roman" w:hAnsi="Times New Roman" w:cs="Times New Roman"/>
          <w:lang w:val="en-US"/>
        </w:rPr>
        <w:t>.</w:t>
      </w:r>
    </w:p>
  </w:footnote>
  <w:footnote w:id="2">
    <w:p w14:paraId="3F21E1E2" w14:textId="77777777" w:rsidR="00521E9C" w:rsidRPr="000D0D35" w:rsidRDefault="00521E9C" w:rsidP="00521E9C">
      <w:pPr>
        <w:pStyle w:val="FootnoteText"/>
        <w:jc w:val="both"/>
        <w:rPr>
          <w:rFonts w:ascii="Times New Roman" w:hAnsi="Times New Roman" w:cs="Times New Roman"/>
          <w:lang w:val="en-US"/>
        </w:rPr>
      </w:pPr>
      <w:r>
        <w:rPr>
          <w:rStyle w:val="FootnoteReference"/>
        </w:rPr>
        <w:footnoteRef/>
      </w:r>
      <w:r>
        <w:t xml:space="preserve"> </w:t>
      </w:r>
      <w:r w:rsidRPr="00B83BBF">
        <w:rPr>
          <w:rFonts w:ascii="Times New Roman" w:hAnsi="Times New Roman" w:cs="Times New Roman"/>
          <w:lang w:val="en-US"/>
        </w:rPr>
        <w:t>Isabela Fairclough, Norman Fairclough, P</w:t>
      </w:r>
      <w:r w:rsidRPr="00B83BBF">
        <w:rPr>
          <w:rFonts w:ascii="Times New Roman" w:hAnsi="Times New Roman" w:cs="Times New Roman"/>
          <w:i/>
          <w:lang w:val="en-US"/>
        </w:rPr>
        <w:t>olitical discourse analys</w:t>
      </w:r>
      <w:r w:rsidRPr="000D0D35">
        <w:rPr>
          <w:rFonts w:ascii="Times New Roman" w:hAnsi="Times New Roman" w:cs="Times New Roman"/>
          <w:i/>
          <w:lang w:val="en-US"/>
        </w:rPr>
        <w:t xml:space="preserve">is, </w:t>
      </w:r>
      <w:r w:rsidRPr="000D0D35">
        <w:rPr>
          <w:rFonts w:ascii="Times New Roman" w:hAnsi="Times New Roman" w:cs="Times New Roman"/>
          <w:color w:val="0D0D0D" w:themeColor="text1" w:themeTint="F2"/>
          <w:lang w:val="en-GB"/>
        </w:rPr>
        <w:t xml:space="preserve">London, Routledge, 2012, </w:t>
      </w:r>
      <w:r w:rsidRPr="000D0D35">
        <w:rPr>
          <w:rFonts w:ascii="Times New Roman" w:hAnsi="Times New Roman" w:cs="Times New Roman"/>
          <w:lang w:val="en-US"/>
        </w:rPr>
        <w:t>pp.18-19.</w:t>
      </w:r>
    </w:p>
  </w:footnote>
  <w:footnote w:id="3">
    <w:p w14:paraId="11E36416" w14:textId="77777777" w:rsidR="00521E9C" w:rsidRPr="008C7630" w:rsidRDefault="00521E9C" w:rsidP="00521E9C">
      <w:pPr>
        <w:pStyle w:val="FootnoteText"/>
        <w:rPr>
          <w:lang w:val="en-US"/>
        </w:rPr>
      </w:pPr>
      <w:r w:rsidRPr="000D0D35">
        <w:rPr>
          <w:rStyle w:val="FootnoteReference"/>
        </w:rPr>
        <w:footnoteRef/>
      </w:r>
      <w:r w:rsidRPr="000D0D35">
        <w:rPr>
          <w:rFonts w:ascii="Times New Roman" w:hAnsi="Times New Roman" w:cs="Times New Roman"/>
          <w:i/>
          <w:lang w:val="en-US"/>
        </w:rPr>
        <w:t xml:space="preserve">Ibidem, </w:t>
      </w:r>
      <w:r w:rsidRPr="000D0D35">
        <w:rPr>
          <w:rFonts w:ascii="Times New Roman" w:hAnsi="Times New Roman" w:cs="Times New Roman"/>
          <w:lang w:val="en-US"/>
        </w:rPr>
        <w:t>p. 22.</w:t>
      </w:r>
    </w:p>
  </w:footnote>
  <w:footnote w:id="4">
    <w:p w14:paraId="5B835052" w14:textId="77777777" w:rsidR="00521E9C" w:rsidRPr="00591C7A" w:rsidRDefault="00521E9C" w:rsidP="00521E9C">
      <w:pPr>
        <w:pStyle w:val="FootnoteText"/>
        <w:rPr>
          <w:lang w:val="en-US"/>
        </w:rPr>
      </w:pPr>
      <w:r>
        <w:rPr>
          <w:rStyle w:val="FootnoteReference"/>
        </w:rPr>
        <w:footnoteRef/>
      </w:r>
      <w:r>
        <w:t xml:space="preserve"> </w:t>
      </w:r>
      <w:r w:rsidRPr="00A9406A">
        <w:rPr>
          <w:rFonts w:ascii="Times New Roman" w:hAnsi="Times New Roman" w:cs="Times New Roman"/>
          <w:i/>
          <w:lang w:val="en-US"/>
        </w:rPr>
        <w:t>Ibidem.</w:t>
      </w:r>
    </w:p>
  </w:footnote>
  <w:footnote w:id="5">
    <w:p w14:paraId="57AD39B2" w14:textId="77777777" w:rsidR="00521E9C" w:rsidRPr="00294B8C" w:rsidRDefault="00521E9C" w:rsidP="00521E9C">
      <w:pPr>
        <w:pStyle w:val="FootnoteText"/>
        <w:jc w:val="both"/>
        <w:rPr>
          <w:lang w:val="en-GB"/>
        </w:rPr>
      </w:pPr>
      <w:r w:rsidRPr="00294B8C">
        <w:rPr>
          <w:rStyle w:val="FootnoteReference"/>
          <w:lang w:val="en-GB"/>
        </w:rPr>
        <w:footnoteRef/>
      </w:r>
      <w:r w:rsidRPr="00294B8C">
        <w:rPr>
          <w:lang w:val="en-GB"/>
        </w:rPr>
        <w:t xml:space="preserve"> </w:t>
      </w:r>
      <w:r w:rsidRPr="00294B8C">
        <w:rPr>
          <w:rFonts w:ascii="Times New Roman" w:hAnsi="Times New Roman" w:cs="Times New Roman"/>
          <w:lang w:val="en-GB"/>
        </w:rPr>
        <w:t xml:space="preserve">Paul Chilton, </w:t>
      </w:r>
      <w:r w:rsidRPr="00294B8C">
        <w:rPr>
          <w:rFonts w:ascii="Times New Roman" w:hAnsi="Times New Roman" w:cs="Times New Roman"/>
          <w:i/>
          <w:lang w:val="en-GB"/>
        </w:rPr>
        <w:t>Analysing political discourse</w:t>
      </w:r>
      <w:r w:rsidRPr="00294B8C">
        <w:rPr>
          <w:rFonts w:ascii="Times New Roman" w:hAnsi="Times New Roman" w:cs="Times New Roman"/>
          <w:lang w:val="en-GB"/>
        </w:rPr>
        <w:t xml:space="preserve">, London, Routledge, </w:t>
      </w:r>
      <w:r>
        <w:rPr>
          <w:rFonts w:ascii="Times New Roman" w:hAnsi="Times New Roman" w:cs="Times New Roman"/>
          <w:lang w:val="en-GB"/>
        </w:rPr>
        <w:t>2</w:t>
      </w:r>
      <w:r w:rsidRPr="00294B8C">
        <w:rPr>
          <w:rFonts w:ascii="Times New Roman" w:hAnsi="Times New Roman" w:cs="Times New Roman"/>
          <w:lang w:val="en-GB"/>
        </w:rPr>
        <w:t>004, p. 5.</w:t>
      </w:r>
    </w:p>
  </w:footnote>
  <w:footnote w:id="6">
    <w:p w14:paraId="2B8B4EB0" w14:textId="77777777" w:rsidR="00521E9C" w:rsidRPr="00F11B30" w:rsidRDefault="00521E9C" w:rsidP="00521E9C">
      <w:pPr>
        <w:pStyle w:val="FootnoteText"/>
        <w:jc w:val="both"/>
        <w:rPr>
          <w:rFonts w:ascii="Times New Roman" w:hAnsi="Times New Roman" w:cs="Times New Roman"/>
          <w:lang w:val="en-US"/>
        </w:rPr>
      </w:pPr>
      <w:r>
        <w:rPr>
          <w:rStyle w:val="FootnoteReference"/>
        </w:rPr>
        <w:footnoteRef/>
      </w:r>
      <w:r>
        <w:t xml:space="preserve"> </w:t>
      </w:r>
      <w:r w:rsidRPr="006C17D9">
        <w:rPr>
          <w:rFonts w:ascii="Times New Roman" w:hAnsi="Times New Roman" w:cs="Times New Roman"/>
        </w:rPr>
        <w:t>Anita Fetzer, Gerda Eva Lauerbach,</w:t>
      </w:r>
      <w:r>
        <w:t xml:space="preserve"> </w:t>
      </w:r>
      <w:r>
        <w:rPr>
          <w:rFonts w:ascii="Times New Roman" w:hAnsi="Times New Roman" w:cs="Times New Roman"/>
          <w:i/>
          <w:lang w:val="en-US"/>
        </w:rPr>
        <w:t>op.cit.</w:t>
      </w:r>
      <w:r>
        <w:rPr>
          <w:rFonts w:ascii="Times New Roman" w:hAnsi="Times New Roman" w:cs="Times New Roman"/>
          <w:lang w:val="en-US"/>
        </w:rPr>
        <w:t xml:space="preserve">, </w:t>
      </w:r>
      <w:r w:rsidRPr="001D39B9">
        <w:rPr>
          <w:rFonts w:ascii="Times New Roman" w:hAnsi="Times New Roman" w:cs="Times New Roman"/>
          <w:lang w:val="en-US"/>
        </w:rPr>
        <w:t>p.</w:t>
      </w:r>
      <w:r>
        <w:rPr>
          <w:rFonts w:ascii="Times New Roman" w:hAnsi="Times New Roman" w:cs="Times New Roman"/>
          <w:lang w:val="en-US"/>
        </w:rPr>
        <w:t xml:space="preserve"> 38.</w:t>
      </w:r>
    </w:p>
  </w:footnote>
  <w:footnote w:id="7">
    <w:p w14:paraId="1A56746E" w14:textId="77777777" w:rsidR="00521E9C" w:rsidRPr="0013037D" w:rsidRDefault="00521E9C" w:rsidP="00521E9C">
      <w:pPr>
        <w:pStyle w:val="FootnoteText"/>
        <w:rPr>
          <w:lang w:val="en-US"/>
        </w:rPr>
      </w:pPr>
      <w:r>
        <w:rPr>
          <w:rStyle w:val="FootnoteReference"/>
        </w:rPr>
        <w:footnoteRef/>
      </w:r>
      <w:r>
        <w:t xml:space="preserve"> </w:t>
      </w:r>
      <w:r w:rsidRPr="00B83BBF">
        <w:rPr>
          <w:rFonts w:ascii="Times New Roman" w:hAnsi="Times New Roman" w:cs="Times New Roman"/>
          <w:lang w:val="en-US"/>
        </w:rPr>
        <w:t xml:space="preserve">Isabela Fairclough, Norman Fairclough, </w:t>
      </w:r>
      <w:r w:rsidRPr="00A9406A">
        <w:rPr>
          <w:rFonts w:ascii="Times New Roman" w:hAnsi="Times New Roman" w:cs="Times New Roman"/>
          <w:i/>
          <w:lang w:val="en-US"/>
        </w:rPr>
        <w:t>op.cit</w:t>
      </w:r>
      <w:r>
        <w:rPr>
          <w:rFonts w:ascii="Times New Roman" w:hAnsi="Times New Roman" w:cs="Times New Roman"/>
          <w:lang w:val="en-US"/>
        </w:rPr>
        <w:t xml:space="preserve">., </w:t>
      </w:r>
      <w:r>
        <w:rPr>
          <w:rFonts w:ascii="Times New Roman" w:hAnsi="Times New Roman" w:cs="Times New Roman"/>
          <w:i/>
          <w:lang w:val="en-US"/>
        </w:rPr>
        <w:t>p. 95.</w:t>
      </w:r>
    </w:p>
  </w:footnote>
  <w:footnote w:id="8">
    <w:p w14:paraId="01BD662C" w14:textId="77777777" w:rsidR="00521E9C" w:rsidRPr="0012668A" w:rsidRDefault="00521E9C" w:rsidP="00521E9C">
      <w:pPr>
        <w:pStyle w:val="FootnoteText"/>
        <w:rPr>
          <w:lang w:val="en-US"/>
        </w:rPr>
      </w:pPr>
      <w:r>
        <w:rPr>
          <w:rStyle w:val="FootnoteReference"/>
        </w:rPr>
        <w:footnoteRef/>
      </w:r>
      <w:r>
        <w:t xml:space="preserve"> </w:t>
      </w:r>
      <w:r w:rsidRPr="00294B8C">
        <w:rPr>
          <w:rFonts w:ascii="Times New Roman" w:hAnsi="Times New Roman" w:cs="Times New Roman"/>
          <w:lang w:val="en-GB"/>
        </w:rPr>
        <w:t xml:space="preserve">Paul Chilton, </w:t>
      </w:r>
      <w:r>
        <w:rPr>
          <w:rFonts w:ascii="Times New Roman" w:hAnsi="Times New Roman" w:cs="Times New Roman"/>
          <w:i/>
          <w:lang w:val="en-GB"/>
        </w:rPr>
        <w:t>op.cit.</w:t>
      </w:r>
      <w:r>
        <w:rPr>
          <w:rFonts w:ascii="Times New Roman" w:hAnsi="Times New Roman" w:cs="Times New Roman"/>
          <w:lang w:val="en-GB"/>
        </w:rPr>
        <w:t>, pp. 45-46.</w:t>
      </w:r>
    </w:p>
  </w:footnote>
  <w:footnote w:id="9">
    <w:p w14:paraId="5A056107" w14:textId="77777777" w:rsidR="00521E9C" w:rsidRPr="000A3626" w:rsidRDefault="00521E9C" w:rsidP="00521E9C">
      <w:pPr>
        <w:pStyle w:val="FootnoteText"/>
        <w:rPr>
          <w:lang w:val="en-US"/>
        </w:rPr>
      </w:pPr>
      <w:r>
        <w:rPr>
          <w:rStyle w:val="FootnoteReference"/>
        </w:rPr>
        <w:footnoteRef/>
      </w:r>
      <w:r w:rsidRPr="00A9406A">
        <w:rPr>
          <w:rFonts w:ascii="Times New Roman" w:hAnsi="Times New Roman" w:cs="Times New Roman"/>
          <w:i/>
          <w:lang w:val="en-GB"/>
        </w:rPr>
        <w:t>Ibidem</w:t>
      </w:r>
      <w:r>
        <w:rPr>
          <w:rFonts w:ascii="Times New Roman" w:hAnsi="Times New Roman" w:cs="Times New Roman"/>
          <w:lang w:val="en-GB"/>
        </w:rPr>
        <w:t>, p.92.</w:t>
      </w:r>
    </w:p>
  </w:footnote>
  <w:footnote w:id="10">
    <w:p w14:paraId="1B68287B" w14:textId="77777777" w:rsidR="00521E9C" w:rsidRPr="00B83BBF" w:rsidRDefault="00521E9C" w:rsidP="00521E9C">
      <w:pPr>
        <w:pStyle w:val="FootnoteText"/>
        <w:jc w:val="both"/>
        <w:rPr>
          <w:lang w:val="en-US"/>
        </w:rPr>
      </w:pPr>
      <w:r>
        <w:rPr>
          <w:rStyle w:val="FootnoteReference"/>
        </w:rPr>
        <w:footnoteRef/>
      </w:r>
      <w:r>
        <w:t xml:space="preserve"> </w:t>
      </w:r>
      <w:r w:rsidRPr="00B83BBF">
        <w:rPr>
          <w:rFonts w:ascii="Times New Roman" w:hAnsi="Times New Roman" w:cs="Times New Roman"/>
          <w:lang w:val="en-US"/>
        </w:rPr>
        <w:t xml:space="preserve">Isabela Fairclough, Norman Fairclough, </w:t>
      </w:r>
      <w:r w:rsidRPr="00A9406A">
        <w:rPr>
          <w:rFonts w:ascii="Times New Roman" w:hAnsi="Times New Roman" w:cs="Times New Roman"/>
          <w:i/>
          <w:lang w:val="en-US"/>
        </w:rPr>
        <w:t>op.cit</w:t>
      </w:r>
      <w:r>
        <w:rPr>
          <w:rFonts w:ascii="Times New Roman" w:hAnsi="Times New Roman" w:cs="Times New Roman"/>
          <w:lang w:val="en-US"/>
        </w:rPr>
        <w:t>., p. 7.</w:t>
      </w:r>
    </w:p>
  </w:footnote>
  <w:footnote w:id="11">
    <w:p w14:paraId="05E5C67C" w14:textId="77777777" w:rsidR="00521E9C" w:rsidRPr="00DD1E50" w:rsidRDefault="00521E9C" w:rsidP="00521E9C">
      <w:pPr>
        <w:pStyle w:val="FootnoteText"/>
        <w:rPr>
          <w:lang w:val="en-US"/>
        </w:rPr>
      </w:pPr>
      <w:r>
        <w:rPr>
          <w:rStyle w:val="FootnoteReference"/>
        </w:rPr>
        <w:footnoteRef/>
      </w:r>
      <w:r>
        <w:t xml:space="preserve"> </w:t>
      </w:r>
      <w:r w:rsidRPr="00DD1E50">
        <w:rPr>
          <w:rFonts w:ascii="Times New Roman" w:hAnsi="Times New Roman" w:cs="Times New Roman"/>
          <w:i/>
          <w:lang w:val="en-US"/>
        </w:rPr>
        <w:t>Ibidem</w:t>
      </w:r>
      <w:r w:rsidRPr="00DD1E50">
        <w:rPr>
          <w:rFonts w:ascii="Times New Roman" w:hAnsi="Times New Roman" w:cs="Times New Roman"/>
          <w:lang w:val="en-US"/>
        </w:rPr>
        <w:t>, pp. 17-18.</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A4840D4"/>
    <w:multiLevelType w:val="hybridMultilevel"/>
    <w:tmpl w:val="F80C8F20"/>
    <w:lvl w:ilvl="0" w:tplc="07664874">
      <w:numFmt w:val="bullet"/>
      <w:lvlText w:val="-"/>
      <w:lvlJc w:val="left"/>
      <w:pPr>
        <w:ind w:left="720" w:hanging="360"/>
      </w:pPr>
      <w:rPr>
        <w:rFonts w:ascii="Times New Roman" w:eastAsia="Times New Roman" w:hAnsi="Times New Roman" w:cs="Times New Roman"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08"/>
  <w:hyphenationZone w:val="425"/>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21E9C"/>
    <w:rsid w:val="000D0D35"/>
    <w:rsid w:val="002A6AB8"/>
    <w:rsid w:val="002C0C45"/>
    <w:rsid w:val="003A6504"/>
    <w:rsid w:val="0050655E"/>
    <w:rsid w:val="00521E9C"/>
    <w:rsid w:val="00852DAF"/>
    <w:rsid w:val="008B5173"/>
    <w:rsid w:val="00D0181E"/>
    <w:rsid w:val="00F949EA"/>
  </w:rsids>
  <m:mathPr>
    <m:mathFont m:val="Cambria Math"/>
    <m:brkBin m:val="before"/>
    <m:brkBinSub m:val="--"/>
    <m:smallFrac m:val="0"/>
    <m:dispDef/>
    <m:lMargin m:val="0"/>
    <m:rMargin m:val="0"/>
    <m:defJc m:val="centerGroup"/>
    <m:wrapIndent m:val="1440"/>
    <m:intLim m:val="subSup"/>
    <m:naryLim m:val="undOvr"/>
  </m:mathPr>
  <w:themeFontLang w:val="ro-R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13030B"/>
  <w15:docId w15:val="{5F77BFBE-44C9-4505-8234-951F6ADB63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o-RO" w:eastAsia="en-US" w:bidi="ar-SA"/>
      </w:rPr>
    </w:rPrDefault>
    <w:pPrDefault>
      <w:pPr>
        <w:spacing w:after="200" w:line="276"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D0181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TMLPreformatted">
    <w:name w:val="HTML Preformatted"/>
    <w:basedOn w:val="Normal"/>
    <w:link w:val="HTMLPreformattedChar"/>
    <w:uiPriority w:val="99"/>
    <w:unhideWhenUsed/>
    <w:rsid w:val="00521E9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ro-RO"/>
    </w:rPr>
  </w:style>
  <w:style w:type="character" w:customStyle="1" w:styleId="HTMLPreformattedChar">
    <w:name w:val="HTML Preformatted Char"/>
    <w:basedOn w:val="DefaultParagraphFont"/>
    <w:link w:val="HTMLPreformatted"/>
    <w:uiPriority w:val="99"/>
    <w:rsid w:val="00521E9C"/>
    <w:rPr>
      <w:rFonts w:ascii="Courier New" w:eastAsia="Times New Roman" w:hAnsi="Courier New" w:cs="Courier New"/>
      <w:sz w:val="20"/>
      <w:szCs w:val="20"/>
      <w:lang w:eastAsia="ro-RO"/>
    </w:rPr>
  </w:style>
  <w:style w:type="paragraph" w:styleId="FootnoteText">
    <w:name w:val="footnote text"/>
    <w:basedOn w:val="Normal"/>
    <w:link w:val="FootnoteTextChar"/>
    <w:uiPriority w:val="99"/>
    <w:semiHidden/>
    <w:unhideWhenUsed/>
    <w:rsid w:val="00521E9C"/>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521E9C"/>
    <w:rPr>
      <w:sz w:val="20"/>
      <w:szCs w:val="20"/>
    </w:rPr>
  </w:style>
  <w:style w:type="character" w:styleId="FootnoteReference">
    <w:name w:val="footnote reference"/>
    <w:basedOn w:val="DefaultParagraphFont"/>
    <w:uiPriority w:val="99"/>
    <w:semiHidden/>
    <w:unhideWhenUsed/>
    <w:rsid w:val="00521E9C"/>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815</Words>
  <Characters>4649</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5454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adriana istrate</cp:lastModifiedBy>
  <cp:revision>2</cp:revision>
  <dcterms:created xsi:type="dcterms:W3CDTF">2020-02-27T14:52:00Z</dcterms:created>
  <dcterms:modified xsi:type="dcterms:W3CDTF">2020-02-27T14:52:00Z</dcterms:modified>
</cp:coreProperties>
</file>