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DB573" w14:textId="77777777" w:rsidR="00A76925" w:rsidRDefault="00252BBD" w:rsidP="00252BBD">
      <w:pPr>
        <w:spacing w:after="0" w:line="360" w:lineRule="auto"/>
        <w:jc w:val="center"/>
        <w:rPr>
          <w:rFonts w:ascii="Times New Roman" w:hAnsi="Times New Roman"/>
          <w:b/>
          <w:sz w:val="24"/>
          <w:szCs w:val="24"/>
          <w:lang w:val="en-US"/>
        </w:rPr>
      </w:pPr>
      <w:bookmarkStart w:id="0" w:name="_GoBack"/>
      <w:bookmarkEnd w:id="0"/>
      <w:r w:rsidRPr="00252BBD">
        <w:rPr>
          <w:rFonts w:ascii="Times New Roman" w:hAnsi="Times New Roman"/>
          <w:b/>
          <w:sz w:val="24"/>
          <w:szCs w:val="24"/>
          <w:lang w:val="en-US"/>
        </w:rPr>
        <w:t>HISTORY OF EDUCATION IN ROMANIA-AN ANALYSIS OF INSTITUTIONAL AUTONOMY</w:t>
      </w:r>
    </w:p>
    <w:p w14:paraId="20670B4B" w14:textId="77777777" w:rsidR="00252BBD" w:rsidRDefault="00252BBD" w:rsidP="00252BBD">
      <w:pPr>
        <w:spacing w:after="0" w:line="360" w:lineRule="auto"/>
        <w:jc w:val="center"/>
        <w:rPr>
          <w:rFonts w:ascii="Times New Roman" w:hAnsi="Times New Roman"/>
          <w:b/>
          <w:sz w:val="24"/>
          <w:szCs w:val="24"/>
          <w:lang w:val="en-US"/>
        </w:rPr>
      </w:pPr>
    </w:p>
    <w:p w14:paraId="2C29024E" w14:textId="77777777" w:rsidR="00252BBD" w:rsidRDefault="00252BBD" w:rsidP="00252BBD">
      <w:pPr>
        <w:spacing w:after="0" w:line="360" w:lineRule="auto"/>
        <w:jc w:val="center"/>
        <w:rPr>
          <w:rFonts w:ascii="Times New Roman" w:hAnsi="Times New Roman"/>
          <w:b/>
          <w:sz w:val="24"/>
          <w:szCs w:val="24"/>
          <w:lang w:val="en-US"/>
        </w:rPr>
      </w:pPr>
    </w:p>
    <w:p w14:paraId="3C4A3DCE" w14:textId="77777777" w:rsidR="00252BBD" w:rsidRPr="00252BBD" w:rsidRDefault="00252BBD" w:rsidP="00252BBD">
      <w:pPr>
        <w:spacing w:after="0" w:line="240" w:lineRule="auto"/>
        <w:jc w:val="right"/>
        <w:rPr>
          <w:rFonts w:ascii="Times New Roman" w:hAnsi="Times New Roman"/>
          <w:b/>
          <w:i/>
          <w:sz w:val="20"/>
          <w:szCs w:val="20"/>
          <w:lang w:val="en-US"/>
        </w:rPr>
      </w:pPr>
      <w:r w:rsidRPr="00252BBD">
        <w:rPr>
          <w:rFonts w:ascii="Times New Roman" w:hAnsi="Times New Roman"/>
          <w:b/>
          <w:i/>
          <w:sz w:val="20"/>
          <w:szCs w:val="20"/>
          <w:lang w:val="en-US"/>
        </w:rPr>
        <w:t xml:space="preserve">Prof. </w:t>
      </w:r>
      <w:proofErr w:type="spellStart"/>
      <w:r w:rsidRPr="00252BBD">
        <w:rPr>
          <w:rFonts w:ascii="Times New Roman" w:hAnsi="Times New Roman"/>
          <w:b/>
          <w:i/>
          <w:sz w:val="20"/>
          <w:szCs w:val="20"/>
          <w:lang w:val="en-US"/>
        </w:rPr>
        <w:t>Sanda</w:t>
      </w:r>
      <w:proofErr w:type="spellEnd"/>
      <w:r w:rsidRPr="00252BBD">
        <w:rPr>
          <w:rFonts w:ascii="Times New Roman" w:hAnsi="Times New Roman"/>
          <w:b/>
          <w:i/>
          <w:sz w:val="20"/>
          <w:szCs w:val="20"/>
          <w:lang w:val="en-US"/>
        </w:rPr>
        <w:t xml:space="preserve"> Ana-Maria</w:t>
      </w:r>
    </w:p>
    <w:p w14:paraId="0731EF04" w14:textId="77777777" w:rsidR="00252BBD" w:rsidRDefault="00252BBD" w:rsidP="00252BBD">
      <w:pPr>
        <w:spacing w:after="0" w:line="240" w:lineRule="auto"/>
        <w:jc w:val="right"/>
        <w:rPr>
          <w:rFonts w:ascii="Times New Roman" w:hAnsi="Times New Roman"/>
          <w:b/>
          <w:i/>
          <w:sz w:val="20"/>
          <w:szCs w:val="20"/>
          <w:lang w:val="en-US"/>
        </w:rPr>
      </w:pPr>
      <w:proofErr w:type="spellStart"/>
      <w:r w:rsidRPr="00252BBD">
        <w:rPr>
          <w:rFonts w:ascii="Times New Roman" w:hAnsi="Times New Roman"/>
          <w:b/>
          <w:i/>
          <w:sz w:val="20"/>
          <w:szCs w:val="20"/>
          <w:lang w:val="en-US"/>
        </w:rPr>
        <w:t>Liceul</w:t>
      </w:r>
      <w:proofErr w:type="spellEnd"/>
      <w:r w:rsidRPr="00252BBD">
        <w:rPr>
          <w:rFonts w:ascii="Times New Roman" w:hAnsi="Times New Roman"/>
          <w:b/>
          <w:i/>
          <w:sz w:val="20"/>
          <w:szCs w:val="20"/>
          <w:lang w:val="en-US"/>
        </w:rPr>
        <w:t xml:space="preserve"> </w:t>
      </w:r>
      <w:proofErr w:type="spellStart"/>
      <w:r w:rsidRPr="00252BBD">
        <w:rPr>
          <w:rFonts w:ascii="Times New Roman" w:hAnsi="Times New Roman"/>
          <w:b/>
          <w:i/>
          <w:sz w:val="20"/>
          <w:szCs w:val="20"/>
          <w:lang w:val="en-US"/>
        </w:rPr>
        <w:t>Tehnologic</w:t>
      </w:r>
      <w:proofErr w:type="spellEnd"/>
      <w:r w:rsidRPr="00252BBD">
        <w:rPr>
          <w:rFonts w:ascii="Times New Roman" w:hAnsi="Times New Roman"/>
          <w:b/>
          <w:i/>
          <w:sz w:val="20"/>
          <w:szCs w:val="20"/>
          <w:lang w:val="en-US"/>
        </w:rPr>
        <w:t xml:space="preserve"> </w:t>
      </w:r>
      <w:proofErr w:type="spellStart"/>
      <w:r w:rsidRPr="00252BBD">
        <w:rPr>
          <w:rFonts w:ascii="Times New Roman" w:hAnsi="Times New Roman"/>
          <w:b/>
          <w:i/>
          <w:sz w:val="20"/>
          <w:szCs w:val="20"/>
          <w:lang w:val="en-US"/>
        </w:rPr>
        <w:t>Topoloveni</w:t>
      </w:r>
      <w:proofErr w:type="spellEnd"/>
      <w:r w:rsidRPr="00252BBD">
        <w:rPr>
          <w:rFonts w:ascii="Times New Roman" w:hAnsi="Times New Roman"/>
          <w:b/>
          <w:i/>
          <w:sz w:val="20"/>
          <w:szCs w:val="20"/>
          <w:lang w:val="en-US"/>
        </w:rPr>
        <w:t xml:space="preserve">, </w:t>
      </w:r>
      <w:proofErr w:type="spellStart"/>
      <w:r w:rsidRPr="00252BBD">
        <w:rPr>
          <w:rFonts w:ascii="Times New Roman" w:hAnsi="Times New Roman"/>
          <w:b/>
          <w:i/>
          <w:sz w:val="20"/>
          <w:szCs w:val="20"/>
          <w:lang w:val="en-US"/>
        </w:rPr>
        <w:t>Argeș</w:t>
      </w:r>
      <w:proofErr w:type="spellEnd"/>
    </w:p>
    <w:p w14:paraId="21AB2480" w14:textId="77777777" w:rsidR="00252BBD" w:rsidRDefault="00252BBD" w:rsidP="00252BBD">
      <w:pPr>
        <w:spacing w:after="0" w:line="240" w:lineRule="auto"/>
        <w:jc w:val="right"/>
        <w:rPr>
          <w:rFonts w:ascii="Times New Roman" w:hAnsi="Times New Roman"/>
          <w:b/>
          <w:i/>
          <w:sz w:val="20"/>
          <w:szCs w:val="20"/>
          <w:lang w:val="en-US"/>
        </w:rPr>
      </w:pPr>
    </w:p>
    <w:p w14:paraId="3DA4173F" w14:textId="77777777" w:rsidR="00252BBD" w:rsidRDefault="00252BBD" w:rsidP="00252BBD">
      <w:pPr>
        <w:spacing w:after="0" w:line="240" w:lineRule="auto"/>
        <w:jc w:val="right"/>
        <w:rPr>
          <w:rFonts w:ascii="Times New Roman" w:hAnsi="Times New Roman"/>
          <w:b/>
          <w:i/>
          <w:sz w:val="20"/>
          <w:szCs w:val="20"/>
          <w:lang w:val="en-US"/>
        </w:rPr>
      </w:pPr>
    </w:p>
    <w:p w14:paraId="5B1C9012" w14:textId="77777777" w:rsidR="00252BBD" w:rsidRDefault="00252BBD" w:rsidP="00252BBD">
      <w:pPr>
        <w:spacing w:after="0" w:line="240" w:lineRule="auto"/>
        <w:jc w:val="right"/>
        <w:rPr>
          <w:rFonts w:ascii="Times New Roman" w:hAnsi="Times New Roman"/>
          <w:b/>
          <w:i/>
          <w:sz w:val="20"/>
          <w:szCs w:val="20"/>
          <w:lang w:val="en-US"/>
        </w:rPr>
      </w:pPr>
    </w:p>
    <w:p w14:paraId="71CFE79D" w14:textId="77777777" w:rsidR="00252BBD" w:rsidRPr="00252BBD" w:rsidRDefault="00252BBD" w:rsidP="00252BBD">
      <w:pPr>
        <w:shd w:val="clear" w:color="auto" w:fill="FFFFFF"/>
        <w:spacing w:after="0" w:line="360" w:lineRule="auto"/>
        <w:ind w:firstLine="0"/>
        <w:jc w:val="both"/>
        <w:rPr>
          <w:rFonts w:ascii="Times New Roman" w:hAnsi="Times New Roman"/>
          <w:i/>
          <w:color w:val="000000" w:themeColor="text1"/>
          <w:sz w:val="24"/>
          <w:szCs w:val="24"/>
        </w:rPr>
      </w:pPr>
      <w:r w:rsidRPr="00252BBD">
        <w:rPr>
          <w:rFonts w:ascii="Times New Roman" w:hAnsi="Times New Roman"/>
          <w:i/>
          <w:color w:val="000000" w:themeColor="text1"/>
          <w:sz w:val="24"/>
          <w:szCs w:val="24"/>
        </w:rPr>
        <w:t>Key-words:  educational  reforms,  history  of  education,  Bologna  Process,  institutional  isomorphism, diversification, institutional homogeneity, academic mobility.</w:t>
      </w:r>
    </w:p>
    <w:p w14:paraId="4FF57383" w14:textId="77777777" w:rsidR="00252BBD" w:rsidRDefault="00252BBD" w:rsidP="00252BBD">
      <w:pPr>
        <w:spacing w:after="0" w:line="240" w:lineRule="auto"/>
        <w:rPr>
          <w:rFonts w:ascii="Times New Roman" w:hAnsi="Times New Roman"/>
          <w:b/>
          <w:i/>
          <w:sz w:val="20"/>
          <w:szCs w:val="20"/>
          <w:lang w:val="en-US"/>
        </w:rPr>
      </w:pPr>
    </w:p>
    <w:p w14:paraId="165D3DA3" w14:textId="77777777" w:rsidR="00252BBD" w:rsidRPr="00FE4404" w:rsidRDefault="00252BBD" w:rsidP="00FE4404">
      <w:pPr>
        <w:spacing w:after="0" w:line="360" w:lineRule="auto"/>
        <w:jc w:val="both"/>
        <w:rPr>
          <w:rFonts w:ascii="Times New Roman" w:hAnsi="Times New Roman"/>
          <w:b/>
          <w:i/>
          <w:color w:val="000000" w:themeColor="text1"/>
          <w:sz w:val="24"/>
          <w:szCs w:val="24"/>
          <w:lang w:val="en-US"/>
        </w:rPr>
      </w:pPr>
    </w:p>
    <w:p w14:paraId="12124FEA" w14:textId="77777777" w:rsidR="00FE4404" w:rsidRDefault="00252BBD" w:rsidP="00FE4404">
      <w:pPr>
        <w:spacing w:after="0" w:line="360" w:lineRule="auto"/>
        <w:jc w:val="both"/>
        <w:rPr>
          <w:rFonts w:ascii="Times New Roman" w:hAnsi="Times New Roman"/>
          <w:color w:val="000000" w:themeColor="text1"/>
          <w:sz w:val="24"/>
          <w:szCs w:val="24"/>
          <w:shd w:val="clear" w:color="auto" w:fill="FFFFFF"/>
        </w:rPr>
      </w:pPr>
      <w:r w:rsidRPr="00FE4404">
        <w:rPr>
          <w:rFonts w:ascii="Times New Roman" w:hAnsi="Times New Roman"/>
          <w:color w:val="000000" w:themeColor="text1"/>
          <w:sz w:val="24"/>
          <w:szCs w:val="24"/>
          <w:shd w:val="clear" w:color="auto" w:fill="FFFFFF"/>
        </w:rPr>
        <w:t xml:space="preserve">The education system of Romania was punctuated by major educational reforms that shaped its course. The education system of Romania can be categorised as having distinctive periods of convergence and divergence (during most of the Communist regime) with, and from, the education system of Western Europe. </w:t>
      </w:r>
    </w:p>
    <w:p w14:paraId="6390723D" w14:textId="77777777" w:rsidR="00252BBD" w:rsidRPr="00FE4404" w:rsidRDefault="00252BBD" w:rsidP="00FE4404">
      <w:pPr>
        <w:spacing w:after="0" w:line="360" w:lineRule="auto"/>
        <w:jc w:val="both"/>
        <w:rPr>
          <w:rFonts w:ascii="Times New Roman" w:hAnsi="Times New Roman"/>
          <w:color w:val="000000" w:themeColor="text1"/>
          <w:sz w:val="24"/>
          <w:szCs w:val="24"/>
          <w:shd w:val="clear" w:color="auto" w:fill="FFFFFF"/>
        </w:rPr>
      </w:pPr>
      <w:r w:rsidRPr="00FE4404">
        <w:rPr>
          <w:rFonts w:ascii="Times New Roman" w:hAnsi="Times New Roman"/>
          <w:color w:val="000000" w:themeColor="text1"/>
          <w:sz w:val="24"/>
          <w:szCs w:val="24"/>
          <w:shd w:val="clear" w:color="auto" w:fill="FFFFFF"/>
        </w:rPr>
        <w:t>Starting in 1999, the Bologna reforms have revolutionised the education system in Romania. New education legislation was passed to keep up with the changes enacted by the ministerial meetings of the Bologna Process. The higher education system oscillated between centralism and autonomy following the years after the collapse of the Communist regime. This article analyzes the education system in Romania with a particular focus on institutional autonomy, quality assurance, and social dimension.</w:t>
      </w:r>
    </w:p>
    <w:p w14:paraId="377B6AC6"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Education scholars in the 20</w:t>
      </w:r>
      <w:r w:rsidR="00FE4404">
        <w:rPr>
          <w:rFonts w:ascii="Times New Roman" w:hAnsi="Times New Roman"/>
          <w:color w:val="000000" w:themeColor="text1"/>
          <w:sz w:val="24"/>
          <w:szCs w:val="24"/>
        </w:rPr>
        <w:t>th</w:t>
      </w:r>
      <w:r w:rsidR="00FE4404" w:rsidRPr="00FE4404">
        <w:rPr>
          <w:rFonts w:ascii="Times New Roman" w:hAnsi="Times New Roman"/>
          <w:color w:val="000000" w:themeColor="text1"/>
          <w:sz w:val="24"/>
          <w:szCs w:val="24"/>
        </w:rPr>
        <w:t xml:space="preserve"> </w:t>
      </w:r>
      <w:r w:rsidR="00FE4404" w:rsidRPr="00252BBD">
        <w:rPr>
          <w:rFonts w:ascii="Times New Roman" w:hAnsi="Times New Roman"/>
          <w:color w:val="000000" w:themeColor="text1"/>
          <w:sz w:val="24"/>
          <w:szCs w:val="24"/>
        </w:rPr>
        <w:t>century expanded on the changes introduced in the 19</w:t>
      </w:r>
      <w:r w:rsidR="00FE4404">
        <w:rPr>
          <w:rFonts w:ascii="Times New Roman" w:hAnsi="Times New Roman"/>
          <w:color w:val="000000" w:themeColor="text1"/>
          <w:sz w:val="24"/>
          <w:szCs w:val="24"/>
        </w:rPr>
        <w:t>th</w:t>
      </w:r>
    </w:p>
    <w:p w14:paraId="14BBF4E4" w14:textId="77777777" w:rsidR="00252BBD" w:rsidRPr="00FE4404"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century in Romania. Among the contributors to the modernization of the education system in</w:t>
      </w:r>
    </w:p>
    <w:p w14:paraId="09AE82D5"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Iasi and Haret are known to have set up the basis of the modern Romanian educational </w:t>
      </w:r>
    </w:p>
    <w:p w14:paraId="06DDDB1B"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system.  The former, an erudite schooled at Sorbona University where he received his PHD in </w:t>
      </w:r>
    </w:p>
    <w:p w14:paraId="082B575B"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Mathematics, Minister of Education (1897-1899; 1901-1904; 1907-1910), passed educational </w:t>
      </w:r>
    </w:p>
    <w:p w14:paraId="01C2E88C" w14:textId="77777777" w:rsidR="00FE4404"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reforms for the primary, secondary, and tertiary grade levels. </w:t>
      </w:r>
    </w:p>
    <w:p w14:paraId="2D5FF5F6" w14:textId="77777777" w:rsidR="00252BBD" w:rsidRPr="00252BBD" w:rsidRDefault="00252BBD" w:rsidP="00FE4404">
      <w:pPr>
        <w:shd w:val="clear" w:color="auto" w:fill="FFFFFF"/>
        <w:spacing w:after="0" w:line="360" w:lineRule="auto"/>
        <w:ind w:firstLine="708"/>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He is particularly known for the educational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reforms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regarding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primary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schools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from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rural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areas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and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training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of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the teachers working in the rural areas. He believed that the teachers had the power to transform the reality of the villages and contribute to teaching literacy to the masses (Baku, 2001); in 1890, only 22% of the Romanian populat</w:t>
      </w:r>
      <w:r w:rsidR="00FE4404">
        <w:rPr>
          <w:rFonts w:ascii="Times New Roman" w:hAnsi="Times New Roman"/>
          <w:color w:val="000000" w:themeColor="text1"/>
          <w:sz w:val="24"/>
          <w:szCs w:val="24"/>
        </w:rPr>
        <w:t xml:space="preserve">ion was literate </w:t>
      </w:r>
      <w:r w:rsidRPr="00252BBD">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 Spiru Haret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also passed the Educational Law of 1868 which set up the basis for the Vocational Schools and reorganised the education system at the secondary level. The latter , Constantin Dumitrescu </w:t>
      </w:r>
    </w:p>
    <w:p w14:paraId="556BB390"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lastRenderedPageBreak/>
        <w:t xml:space="preserve">Iasi, a University professor and consultant for Spiru Haret, along with Spiru Haret reorganised </w:t>
      </w:r>
    </w:p>
    <w:p w14:paraId="1FD479F3"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the education system at the university level and also divided the high schools, or </w:t>
      </w:r>
      <w:r w:rsidRPr="00FE4404">
        <w:rPr>
          <w:rFonts w:ascii="Times New Roman" w:hAnsi="Times New Roman"/>
          <w:color w:val="000000" w:themeColor="text1"/>
          <w:sz w:val="24"/>
          <w:szCs w:val="24"/>
        </w:rPr>
        <w:t>liceele,</w:t>
      </w:r>
      <w:r w:rsidRPr="00252BBD">
        <w:rPr>
          <w:rFonts w:ascii="Times New Roman" w:hAnsi="Times New Roman"/>
          <w:color w:val="000000" w:themeColor="text1"/>
          <w:sz w:val="24"/>
          <w:szCs w:val="24"/>
        </w:rPr>
        <w:t xml:space="preserve"> into </w:t>
      </w:r>
    </w:p>
    <w:p w14:paraId="35572290"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specialities  such  as  realist,  modern,  and  classical  high  schools,  or    </w:t>
      </w:r>
      <w:r w:rsidRPr="00FE4404">
        <w:rPr>
          <w:rFonts w:ascii="Times New Roman" w:hAnsi="Times New Roman"/>
          <w:color w:val="000000" w:themeColor="text1"/>
          <w:sz w:val="24"/>
          <w:szCs w:val="24"/>
        </w:rPr>
        <w:t xml:space="preserve">licee  de  </w:t>
      </w:r>
      <w:r w:rsidRPr="00FE4404">
        <w:rPr>
          <w:rFonts w:ascii="Times New Roman" w:hAnsi="Times New Roman"/>
          <w:i/>
          <w:color w:val="000000" w:themeColor="text1"/>
          <w:sz w:val="24"/>
          <w:szCs w:val="24"/>
        </w:rPr>
        <w:t>profil  real</w:t>
      </w:r>
      <w:r w:rsidR="00FE4404">
        <w:rPr>
          <w:rFonts w:ascii="Times New Roman" w:hAnsi="Times New Roman"/>
          <w:color w:val="000000" w:themeColor="text1"/>
          <w:sz w:val="24"/>
          <w:szCs w:val="24"/>
        </w:rPr>
        <w:t>,</w:t>
      </w:r>
    </w:p>
    <w:p w14:paraId="6AD5CC7F" w14:textId="77777777" w:rsidR="00252BBD" w:rsidRPr="00252BBD"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modern , </w:t>
      </w:r>
      <w:r w:rsidR="00252BBD" w:rsidRPr="00252BBD">
        <w:rPr>
          <w:rFonts w:ascii="Times New Roman" w:hAnsi="Times New Roman"/>
          <w:color w:val="000000" w:themeColor="text1"/>
          <w:sz w:val="24"/>
          <w:szCs w:val="24"/>
        </w:rPr>
        <w:t>classic</w:t>
      </w:r>
      <w:r>
        <w:rPr>
          <w:rFonts w:ascii="Times New Roman" w:hAnsi="Times New Roman"/>
          <w:color w:val="000000" w:themeColor="text1"/>
          <w:sz w:val="24"/>
          <w:szCs w:val="24"/>
        </w:rPr>
        <w:t xml:space="preserve"> </w:t>
      </w:r>
      <w:r w:rsidR="00252BBD" w:rsidRPr="00FE4404">
        <w:rPr>
          <w:rFonts w:ascii="Times New Roman" w:hAnsi="Times New Roman"/>
          <w:color w:val="000000" w:themeColor="text1"/>
          <w:sz w:val="24"/>
          <w:szCs w:val="24"/>
        </w:rPr>
        <w:t>.</w:t>
      </w:r>
    </w:p>
    <w:p w14:paraId="27130A57" w14:textId="77777777" w:rsidR="00252BBD" w:rsidRPr="00252BBD" w:rsidRDefault="00252BBD" w:rsidP="00FE4404">
      <w:pPr>
        <w:shd w:val="clear" w:color="auto" w:fill="FFFFFF"/>
        <w:spacing w:after="0" w:line="360" w:lineRule="auto"/>
        <w:ind w:firstLine="708"/>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The higher education system before 1989 was deemed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one of the best functioning in </w:t>
      </w:r>
    </w:p>
    <w:p w14:paraId="20807C28"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South  Eastern  Europe  and  the  closest  to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Western  Educational  systems </w:t>
      </w:r>
      <w:r w:rsidR="00FE4404">
        <w:rPr>
          <w:rFonts w:ascii="Times New Roman" w:hAnsi="Times New Roman"/>
          <w:color w:val="000000" w:themeColor="text1"/>
          <w:sz w:val="24"/>
          <w:szCs w:val="24"/>
        </w:rPr>
        <w:t>.</w:t>
      </w:r>
      <w:r w:rsidRPr="00252BBD">
        <w:rPr>
          <w:rFonts w:ascii="Times New Roman" w:hAnsi="Times New Roman"/>
          <w:color w:val="000000" w:themeColor="text1"/>
          <w:sz w:val="24"/>
          <w:szCs w:val="24"/>
        </w:rPr>
        <w:t xml:space="preserve"> </w:t>
      </w:r>
    </w:p>
    <w:p w14:paraId="7C27C81E" w14:textId="77777777" w:rsidR="00252BBD" w:rsidRPr="00252BBD" w:rsidRDefault="00252BBD" w:rsidP="0018268A">
      <w:pPr>
        <w:shd w:val="clear" w:color="auto" w:fill="FFFFFF"/>
        <w:spacing w:after="0" w:line="360" w:lineRule="auto"/>
        <w:ind w:firstLine="708"/>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The purpose of the education system of this period (p</w:t>
      </w:r>
      <w:r w:rsidRPr="00FE4404">
        <w:rPr>
          <w:rFonts w:ascii="Times New Roman" w:hAnsi="Times New Roman"/>
          <w:color w:val="000000" w:themeColor="text1"/>
          <w:spacing w:val="-2"/>
          <w:sz w:val="24"/>
          <w:szCs w:val="24"/>
        </w:rPr>
        <w:t>re</w:t>
      </w:r>
      <w:r w:rsidRPr="00252BBD">
        <w:rPr>
          <w:rFonts w:ascii="Times New Roman" w:hAnsi="Times New Roman"/>
          <w:color w:val="000000" w:themeColor="text1"/>
          <w:sz w:val="24"/>
          <w:szCs w:val="24"/>
        </w:rPr>
        <w:t xml:space="preserve">-1989) was to fill the demands of 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market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demand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that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went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hand-in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hand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with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industrialization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and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agrarian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society; therefore, the Communist regime accentuated the need for more technical programs, such as engineering programs, and severely slashing into the humanistic and sciences programs and created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engineering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programs </w:t>
      </w:r>
      <w:r w:rsidRPr="00FE4404">
        <w:rPr>
          <w:rFonts w:ascii="Times New Roman" w:hAnsi="Times New Roman"/>
          <w:color w:val="000000" w:themeColor="text1"/>
          <w:sz w:val="24"/>
          <w:szCs w:val="24"/>
        </w:rPr>
        <w:t xml:space="preserve"> .  </w:t>
      </w:r>
    </w:p>
    <w:p w14:paraId="1D3532F1" w14:textId="77777777" w:rsidR="00252BBD" w:rsidRPr="00252BBD" w:rsidRDefault="00252BBD" w:rsidP="0018268A">
      <w:pPr>
        <w:shd w:val="clear" w:color="auto" w:fill="FFFFFF"/>
        <w:spacing w:after="0" w:line="360" w:lineRule="auto"/>
        <w:ind w:firstLine="708"/>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Higher education in Romania in the transition years, after the collapse of Communism </w:t>
      </w:r>
    </w:p>
    <w:p w14:paraId="1CF00DC3"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(1989-1992),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was oscillating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between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centralism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and decentralism (Reisz, 2006).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As such, 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development and implementation of educational reform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in higher education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was a slow process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major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objectives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educational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reform agenda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university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level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were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aimed </w:t>
      </w:r>
      <w:r w:rsidRPr="00FE4404">
        <w:rPr>
          <w:rFonts w:ascii="Times New Roman" w:hAnsi="Times New Roman"/>
          <w:color w:val="000000" w:themeColor="text1"/>
          <w:sz w:val="24"/>
          <w:szCs w:val="24"/>
        </w:rPr>
        <w:t xml:space="preserve"> at  “</w:t>
      </w:r>
      <w:r w:rsidRPr="00252BBD">
        <w:rPr>
          <w:rFonts w:ascii="Times New Roman" w:hAnsi="Times New Roman"/>
          <w:color w:val="000000" w:themeColor="text1"/>
          <w:sz w:val="24"/>
          <w:szCs w:val="24"/>
        </w:rPr>
        <w:t xml:space="preserve">developing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coherent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framework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for education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policy,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attracting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foreign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partners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to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co-finance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education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reform,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enacting</w:t>
      </w:r>
      <w:r w:rsidRPr="00FE4404">
        <w:rPr>
          <w:rFonts w:ascii="Times New Roman" w:hAnsi="Times New Roman"/>
          <w:color w:val="000000" w:themeColor="text1"/>
          <w:sz w:val="24"/>
          <w:szCs w:val="24"/>
        </w:rPr>
        <w:t xml:space="preserve"> new educational legislation</w:t>
      </w:r>
      <w:r w:rsidR="0018268A">
        <w:rPr>
          <w:rFonts w:ascii="Times New Roman" w:hAnsi="Times New Roman"/>
          <w:color w:val="000000" w:themeColor="text1"/>
          <w:sz w:val="24"/>
          <w:szCs w:val="24"/>
        </w:rPr>
        <w:t xml:space="preserve"> and related regulations, and </w:t>
      </w:r>
      <w:r w:rsidRPr="00FE4404">
        <w:rPr>
          <w:rFonts w:ascii="Times New Roman" w:hAnsi="Times New Roman"/>
          <w:color w:val="000000" w:themeColor="text1"/>
          <w:sz w:val="24"/>
          <w:szCs w:val="24"/>
        </w:rPr>
        <w:t xml:space="preserve"> restructuring the higher education </w:t>
      </w:r>
      <w:r w:rsidRPr="00252BBD">
        <w:rPr>
          <w:rFonts w:ascii="Times New Roman" w:hAnsi="Times New Roman"/>
          <w:color w:val="000000" w:themeColor="text1"/>
          <w:sz w:val="24"/>
          <w:szCs w:val="24"/>
        </w:rPr>
        <w:t>system to meet the new economic, social, and political needs</w:t>
      </w:r>
      <w:r w:rsidRPr="00FE4404">
        <w:rPr>
          <w:rFonts w:ascii="Times New Roman" w:hAnsi="Times New Roman"/>
          <w:color w:val="000000" w:themeColor="text1"/>
          <w:sz w:val="24"/>
          <w:szCs w:val="24"/>
        </w:rPr>
        <w:t>”</w:t>
      </w:r>
      <w:r w:rsidRPr="00252BBD">
        <w:rPr>
          <w:rFonts w:ascii="Times New Roman" w:hAnsi="Times New Roman"/>
          <w:color w:val="000000" w:themeColor="text1"/>
          <w:sz w:val="24"/>
          <w:szCs w:val="24"/>
        </w:rPr>
        <w:t>.</w:t>
      </w:r>
      <w:r w:rsidRPr="00FE4404">
        <w:rPr>
          <w:rFonts w:ascii="Times New Roman" w:hAnsi="Times New Roman"/>
          <w:color w:val="000000" w:themeColor="text1"/>
          <w:sz w:val="24"/>
          <w:szCs w:val="24"/>
        </w:rPr>
        <w:t xml:space="preserve"> Regarded  as  the  result  of  increased  competitiveness  between  European  higher </w:t>
      </w:r>
      <w:r w:rsidRPr="00252BBD">
        <w:rPr>
          <w:rFonts w:ascii="Times New Roman" w:hAnsi="Times New Roman"/>
          <w:color w:val="000000" w:themeColor="text1"/>
          <w:sz w:val="24"/>
          <w:szCs w:val="24"/>
        </w:rPr>
        <w:t xml:space="preserve">education and centers of higher education in the United States and other regions of the world </w:t>
      </w:r>
      <w:r w:rsidR="00FB04A2">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Bologna Process has deep-rooted historical legacies which date back to 1950,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time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when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objective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of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creating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unified Europe,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United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States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of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Europe” </w:t>
      </w:r>
      <w:r w:rsidRPr="00FE4404">
        <w:rPr>
          <w:rFonts w:ascii="Times New Roman" w:hAnsi="Times New Roman"/>
          <w:color w:val="000000" w:themeColor="text1"/>
          <w:sz w:val="24"/>
          <w:szCs w:val="24"/>
        </w:rPr>
        <w:t>, a “Europe of</w:t>
      </w:r>
      <w:r w:rsidRPr="00252BBD">
        <w:rPr>
          <w:rFonts w:ascii="Times New Roman" w:hAnsi="Times New Roman"/>
          <w:color w:val="000000" w:themeColor="text1"/>
          <w:sz w:val="24"/>
          <w:szCs w:val="24"/>
        </w:rPr>
        <w:t xml:space="preserve"> Knowle</w:t>
      </w:r>
      <w:r w:rsidRPr="00FE4404">
        <w:rPr>
          <w:rFonts w:ascii="Times New Roman" w:hAnsi="Times New Roman"/>
          <w:color w:val="000000" w:themeColor="text1"/>
          <w:sz w:val="24"/>
          <w:szCs w:val="24"/>
        </w:rPr>
        <w:t xml:space="preserve">dge” was formulated. After 1970, subsequent treatises </w:t>
      </w:r>
    </w:p>
    <w:p w14:paraId="404CACE2"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reinforced the need for creating a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unified Europe through the provision of quality education </w:t>
      </w:r>
    </w:p>
    <w:p w14:paraId="58913909"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(Massachrit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Treaty,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1989),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objective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allotted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to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higher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education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institutions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(HEIs): “</w:t>
      </w:r>
      <w:r w:rsidRPr="00FE4404">
        <w:rPr>
          <w:rFonts w:ascii="Times New Roman" w:hAnsi="Times New Roman"/>
          <w:color w:val="000000" w:themeColor="text1"/>
          <w:sz w:val="24"/>
          <w:szCs w:val="24"/>
        </w:rPr>
        <w:t xml:space="preserve">After  1970,  governments  promoted  the  short-term  student  mobility  through  the  Erasmus </w:t>
      </w:r>
      <w:r w:rsidRPr="00252BBD">
        <w:rPr>
          <w:rFonts w:ascii="Times New Roman" w:hAnsi="Times New Roman"/>
          <w:color w:val="000000" w:themeColor="text1"/>
          <w:sz w:val="24"/>
          <w:szCs w:val="24"/>
        </w:rPr>
        <w:t>programme - the first of the kind at that time</w:t>
      </w:r>
      <w:r w:rsidRPr="00FE4404">
        <w:rPr>
          <w:rFonts w:ascii="Times New Roman" w:hAnsi="Times New Roman"/>
          <w:color w:val="000000" w:themeColor="text1"/>
          <w:sz w:val="24"/>
          <w:szCs w:val="24"/>
        </w:rPr>
        <w:t>”</w:t>
      </w:r>
      <w:r w:rsidRPr="00252BBD">
        <w:rPr>
          <w:rFonts w:ascii="Times New Roman" w:hAnsi="Times New Roman"/>
          <w:color w:val="000000" w:themeColor="text1"/>
          <w:sz w:val="24"/>
          <w:szCs w:val="24"/>
        </w:rPr>
        <w:t xml:space="preserve"> (Teichler, 2012, p. 485). </w:t>
      </w:r>
    </w:p>
    <w:p w14:paraId="5645ED6D" w14:textId="77777777" w:rsidR="00252BBD" w:rsidRPr="00252BBD" w:rsidRDefault="00252BBD" w:rsidP="00FE4404">
      <w:pPr>
        <w:shd w:val="clear" w:color="auto" w:fill="FFFFFF"/>
        <w:spacing w:after="0" w:line="360" w:lineRule="auto"/>
        <w:ind w:firstLine="0"/>
        <w:jc w:val="both"/>
        <w:rPr>
          <w:rFonts w:ascii="Times New Roman" w:hAnsi="Times New Roman"/>
          <w:color w:val="000000" w:themeColor="text1"/>
          <w:sz w:val="24"/>
          <w:szCs w:val="24"/>
        </w:rPr>
      </w:pPr>
      <w:r w:rsidRPr="00252BBD">
        <w:rPr>
          <w:rFonts w:ascii="Times New Roman" w:hAnsi="Times New Roman"/>
          <w:color w:val="000000" w:themeColor="text1"/>
          <w:sz w:val="24"/>
          <w:szCs w:val="24"/>
        </w:rPr>
        <w:t xml:space="preserve">Ensuing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treaties,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such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as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treaty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of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Amsterdam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in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1997,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invested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EU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with </w:t>
      </w:r>
      <w:r w:rsidRPr="00FE4404">
        <w:rPr>
          <w:rFonts w:ascii="Times New Roman" w:hAnsi="Times New Roman"/>
          <w:color w:val="000000" w:themeColor="text1"/>
          <w:sz w:val="24"/>
          <w:szCs w:val="24"/>
        </w:rPr>
        <w:t xml:space="preserve"> </w:t>
      </w:r>
      <w:r w:rsidRPr="00252BBD">
        <w:rPr>
          <w:rFonts w:ascii="Times New Roman" w:hAnsi="Times New Roman"/>
          <w:color w:val="000000" w:themeColor="text1"/>
          <w:sz w:val="24"/>
          <w:szCs w:val="24"/>
        </w:rPr>
        <w:t xml:space="preserve">the </w:t>
      </w:r>
    </w:p>
    <w:p w14:paraId="53B262A9" w14:textId="77777777" w:rsidR="00FE4404" w:rsidRPr="00FE4404" w:rsidRDefault="00FB04A2" w:rsidP="00FE4404">
      <w:pPr>
        <w:shd w:val="clear" w:color="auto" w:fill="FFFFFF"/>
        <w:spacing w:after="0" w:line="360" w:lineRule="auto"/>
        <w:ind w:firstLine="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responsability </w:t>
      </w:r>
      <w:r w:rsidR="00252BBD" w:rsidRPr="00252BBD">
        <w:rPr>
          <w:rFonts w:ascii="Times New Roman" w:hAnsi="Times New Roman"/>
          <w:color w:val="000000" w:themeColor="text1"/>
          <w:sz w:val="24"/>
          <w:szCs w:val="24"/>
        </w:rPr>
        <w:t xml:space="preserve">of  developing  a </w:t>
      </w:r>
      <w:r w:rsidR="00252BBD" w:rsidRPr="00FE4404">
        <w:rPr>
          <w:rFonts w:ascii="Times New Roman" w:hAnsi="Times New Roman"/>
          <w:color w:val="000000" w:themeColor="text1"/>
          <w:sz w:val="24"/>
          <w:szCs w:val="24"/>
        </w:rPr>
        <w:t xml:space="preserve"> </w:t>
      </w:r>
      <w:r w:rsidR="00252BBD" w:rsidRPr="00252BBD">
        <w:rPr>
          <w:rFonts w:ascii="Times New Roman" w:hAnsi="Times New Roman"/>
          <w:color w:val="000000" w:themeColor="text1"/>
          <w:sz w:val="24"/>
          <w:szCs w:val="24"/>
        </w:rPr>
        <w:t xml:space="preserve">new </w:t>
      </w:r>
      <w:r w:rsidR="00252BBD" w:rsidRPr="00FE4404">
        <w:rPr>
          <w:rFonts w:ascii="Times New Roman" w:hAnsi="Times New Roman"/>
          <w:color w:val="000000" w:themeColor="text1"/>
          <w:sz w:val="24"/>
          <w:szCs w:val="24"/>
        </w:rPr>
        <w:t xml:space="preserve"> </w:t>
      </w:r>
      <w:r w:rsidR="00252BBD" w:rsidRPr="00252BBD">
        <w:rPr>
          <w:rFonts w:ascii="Times New Roman" w:hAnsi="Times New Roman"/>
          <w:color w:val="000000" w:themeColor="text1"/>
          <w:sz w:val="24"/>
          <w:szCs w:val="24"/>
        </w:rPr>
        <w:t xml:space="preserve">knowledge  pillar </w:t>
      </w:r>
      <w:r w:rsidR="00252BBD" w:rsidRPr="00FE4404">
        <w:rPr>
          <w:rFonts w:ascii="Times New Roman" w:hAnsi="Times New Roman"/>
          <w:color w:val="000000" w:themeColor="text1"/>
          <w:sz w:val="24"/>
          <w:szCs w:val="24"/>
        </w:rPr>
        <w:t xml:space="preserve"> </w:t>
      </w:r>
      <w:r w:rsidR="00252BBD" w:rsidRPr="00252BBD">
        <w:rPr>
          <w:rFonts w:ascii="Times New Roman" w:hAnsi="Times New Roman"/>
          <w:color w:val="000000" w:themeColor="text1"/>
          <w:sz w:val="24"/>
          <w:szCs w:val="24"/>
        </w:rPr>
        <w:t>of  education.  These  objectives  were</w:t>
      </w:r>
      <w:r w:rsidR="00FE4404" w:rsidRPr="00FE4404">
        <w:rPr>
          <w:rFonts w:ascii="Times New Roman" w:hAnsi="Times New Roman"/>
          <w:color w:val="000000" w:themeColor="text1"/>
          <w:sz w:val="24"/>
          <w:szCs w:val="24"/>
        </w:rPr>
        <w:t xml:space="preserve"> further enhanced by the Lisbon Declaration that committed itself to make out of Europe “the most  competitive  and  knowledge-based  economy  in  the  world,  capable  of  sustainable economic  growth  with  more  and  better  jobs  and  greater  social  cohesion”  </w:t>
      </w:r>
    </w:p>
    <w:p w14:paraId="7D7FD518"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The  objective  of  creating a  higher  education  policy and  area for  dialogue became a reality  in  1999  when  the  Bologna  Declaration  was  signed  (Teichler,  2012;  Bologn</w:t>
      </w:r>
      <w:r w:rsidRPr="00FE4404">
        <w:rPr>
          <w:rFonts w:ascii="Times New Roman" w:hAnsi="Times New Roman"/>
          <w:color w:val="000000" w:themeColor="text1"/>
          <w:spacing w:val="2"/>
          <w:sz w:val="24"/>
          <w:szCs w:val="24"/>
        </w:rPr>
        <w:t xml:space="preserve">a </w:t>
      </w:r>
    </w:p>
    <w:p w14:paraId="2C1EE28C"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Declaration, 1999)</w:t>
      </w:r>
      <w:r w:rsidR="00FB04A2">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further enhanced by the Lisbon Declaration that committed itself to make out of Europe “the most  competitive  and  knowledge-based  economy  in  the  world,  capable  of  sustainable economic  growth  with  more  and  better  jobs  and  greater  social  cohesion”  </w:t>
      </w:r>
      <w:r w:rsidR="00FB04A2">
        <w:rPr>
          <w:rFonts w:ascii="Times New Roman" w:hAnsi="Times New Roman"/>
          <w:color w:val="000000" w:themeColor="text1"/>
          <w:sz w:val="24"/>
          <w:szCs w:val="24"/>
        </w:rPr>
        <w:t>.</w:t>
      </w:r>
    </w:p>
    <w:p w14:paraId="37E5CCD5"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The  objective  of  creating a  higher  education  policy and  area for  dialogue became a reality  in  1999  when  the  Bologna  Declaration  was  signed  (Teichler,  2012;  Bologn</w:t>
      </w:r>
      <w:r w:rsidRPr="00FE4404">
        <w:rPr>
          <w:rFonts w:ascii="Times New Roman" w:hAnsi="Times New Roman"/>
          <w:color w:val="000000" w:themeColor="text1"/>
          <w:spacing w:val="2"/>
          <w:sz w:val="24"/>
          <w:szCs w:val="24"/>
        </w:rPr>
        <w:t xml:space="preserve">a </w:t>
      </w:r>
    </w:p>
    <w:p w14:paraId="05EFD529"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Declaration, 1999). </w:t>
      </w:r>
    </w:p>
    <w:p w14:paraId="5CD127D6"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 </w:t>
      </w:r>
      <w:r w:rsidR="00FB04A2">
        <w:rPr>
          <w:rFonts w:ascii="Times New Roman" w:hAnsi="Times New Roman"/>
          <w:color w:val="000000" w:themeColor="text1"/>
          <w:sz w:val="24"/>
          <w:szCs w:val="24"/>
        </w:rPr>
        <w:tab/>
      </w:r>
      <w:r w:rsidRPr="00FE4404">
        <w:rPr>
          <w:rFonts w:ascii="Times New Roman" w:hAnsi="Times New Roman"/>
          <w:color w:val="000000" w:themeColor="text1"/>
          <w:sz w:val="24"/>
          <w:szCs w:val="24"/>
        </w:rPr>
        <w:t xml:space="preserve">As  previously  discussed,  the  reforms  of  the  Bologna  Process  are  in  full  swing  in Romania. The reforms aim to create a knowledge-based economy and informed workforce in accordance with the principles of the Bologna Process and the EU’s legislative principles. The shift toward a market-oriented model was noticed after the adoption of the Bologna Process </w:t>
      </w:r>
      <w:r w:rsidR="00FB04A2">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The main objectives of the Bologna Process were: “introduction of a higher </w:t>
      </w:r>
    </w:p>
    <w:p w14:paraId="5EF22172"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education system with three cycles (bachelor, master, and doctorate), quality assurance and </w:t>
      </w:r>
    </w:p>
    <w:p w14:paraId="09F9F10D"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recognition of education qualifications and study periods”. The  cross-national education platform is based on mutual agreements between the signatory countries </w:t>
      </w:r>
    </w:p>
    <w:p w14:paraId="54A14302"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on  e.g.,  study  structures  (Bologna  Declaration,  1999),  increased  university  autonomy </w:t>
      </w:r>
    </w:p>
    <w:p w14:paraId="499481E9"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(Bologna </w:t>
      </w:r>
      <w:r w:rsidR="00FB04A2">
        <w:rPr>
          <w:rFonts w:ascii="Times New Roman" w:hAnsi="Times New Roman"/>
          <w:color w:val="000000" w:themeColor="text1"/>
          <w:sz w:val="24"/>
          <w:szCs w:val="24"/>
        </w:rPr>
        <w:t xml:space="preserve"> </w:t>
      </w:r>
      <w:r w:rsidRPr="00FE4404">
        <w:rPr>
          <w:rFonts w:ascii="Times New Roman" w:hAnsi="Times New Roman"/>
          <w:color w:val="000000" w:themeColor="text1"/>
          <w:sz w:val="24"/>
          <w:szCs w:val="24"/>
        </w:rPr>
        <w:t xml:space="preserve">Declaration, 1999; Prague Communiqué, 2001), regional student mobility (Bologna </w:t>
      </w:r>
    </w:p>
    <w:p w14:paraId="6148ADD8"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Declaration,  1999;  Budapest-Vienna  Declaration,  2010;  Bucharest  Communiqué,  2012), </w:t>
      </w:r>
    </w:p>
    <w:p w14:paraId="3C422E61"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transnational qualification framework (Bergen, 2005), and national qualifications frameworks </w:t>
      </w:r>
    </w:p>
    <w:p w14:paraId="51FA2331"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(London, 2007; Bucharest , 2012). </w:t>
      </w:r>
    </w:p>
    <w:p w14:paraId="0424F47C"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The  Bologna  Process  brought  with  national  legislative  changes  such  as  “compulsory education reduced to eight years, secondary education diversified, academic lycees receiving renewed attention, reducing class size and teaching loads, minority language education was permitted, and education finance was reorganized” (OCED, 2000, p. 13). According to some scholars, the Bologna’s slow progression and implementation may be related to the Ministry of  Education  and  Research’s  ineffectiveness  in  clearly explaining the  tangible  objectives of the Bologna Process </w:t>
      </w:r>
      <w:r w:rsidR="00FB04A2">
        <w:rPr>
          <w:rFonts w:ascii="Times New Roman" w:hAnsi="Times New Roman"/>
          <w:color w:val="000000" w:themeColor="text1"/>
          <w:sz w:val="24"/>
          <w:szCs w:val="24"/>
        </w:rPr>
        <w:t>.</w:t>
      </w:r>
    </w:p>
    <w:p w14:paraId="18C3D8D2"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The  Bologna  Implementation  Report  (2012)  shows  that  in  eleven  countries,  students participate in all aspects of the quality assurance systems; in thirteen countries, students are involved in three out of five aspects of the quality assurance process, and in five countries, students  are  involved  in  two  out  of  the  five  aspects  of  the  quality  assurance,  including Romania and Italy. </w:t>
      </w:r>
    </w:p>
    <w:p w14:paraId="2C61A45E"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A study</w:t>
      </w:r>
      <w:r w:rsidR="00FB04A2">
        <w:rPr>
          <w:rFonts w:ascii="Times New Roman" w:hAnsi="Times New Roman"/>
          <w:color w:val="000000" w:themeColor="text1"/>
          <w:sz w:val="24"/>
          <w:szCs w:val="24"/>
        </w:rPr>
        <w:t xml:space="preserve"> conducted by Ilie et al. </w:t>
      </w:r>
      <w:r w:rsidRPr="00FE4404">
        <w:rPr>
          <w:rFonts w:ascii="Times New Roman" w:hAnsi="Times New Roman"/>
          <w:color w:val="000000" w:themeColor="text1"/>
          <w:sz w:val="24"/>
          <w:szCs w:val="24"/>
        </w:rPr>
        <w:t xml:space="preserve"> on the quality of higher education in Romania -</w:t>
      </w:r>
      <w:r w:rsidRPr="00FE4404">
        <w:rPr>
          <w:rFonts w:ascii="Times New Roman" w:hAnsi="Times New Roman"/>
          <w:color w:val="000000" w:themeColor="text1"/>
          <w:spacing w:val="1"/>
          <w:sz w:val="24"/>
          <w:szCs w:val="24"/>
        </w:rPr>
        <w:t xml:space="preserve">  </w:t>
      </w:r>
    </w:p>
    <w:p w14:paraId="38EB66D7"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note: in this conference report, quality and quality assurance are used as two interchangeable </w:t>
      </w:r>
    </w:p>
    <w:p w14:paraId="39D524E4" w14:textId="77777777" w:rsidR="00FE4404" w:rsidRPr="00FE4404" w:rsidRDefault="00FE4404" w:rsidP="00FE4404">
      <w:pPr>
        <w:shd w:val="clear" w:color="auto" w:fill="FFFFFF"/>
        <w:spacing w:after="0" w:line="360" w:lineRule="auto"/>
        <w:ind w:firstLine="0"/>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terms;  it  measures  institutional  success  and  performance  -  revealed  a  moderate  index  of implementation. In terms of student mobility, transparency of educational offers, the Matrix of Quality Indicators</w:t>
      </w:r>
      <w:r w:rsidRPr="00FE4404">
        <w:rPr>
          <w:rFonts w:ascii="Times New Roman" w:hAnsi="Times New Roman"/>
          <w:color w:val="000000" w:themeColor="text1"/>
          <w:spacing w:val="1"/>
          <w:sz w:val="24"/>
          <w:szCs w:val="24"/>
        </w:rPr>
        <w:t xml:space="preserve">, </w:t>
      </w:r>
      <w:r w:rsidRPr="00FE4404">
        <w:rPr>
          <w:rFonts w:ascii="Times New Roman" w:hAnsi="Times New Roman"/>
          <w:color w:val="000000" w:themeColor="text1"/>
          <w:sz w:val="24"/>
          <w:szCs w:val="24"/>
        </w:rPr>
        <w:t>the benchmarks used by the researchers to determine the quality of higher education</w:t>
      </w:r>
      <w:r w:rsidRPr="00FE4404">
        <w:rPr>
          <w:rFonts w:ascii="Times New Roman" w:hAnsi="Times New Roman"/>
          <w:color w:val="000000" w:themeColor="text1"/>
          <w:spacing w:val="1"/>
          <w:sz w:val="24"/>
          <w:szCs w:val="24"/>
        </w:rPr>
        <w:t xml:space="preserve">,  </w:t>
      </w:r>
      <w:r w:rsidRPr="00FE4404">
        <w:rPr>
          <w:rFonts w:ascii="Times New Roman" w:hAnsi="Times New Roman"/>
          <w:color w:val="000000" w:themeColor="text1"/>
          <w:sz w:val="24"/>
          <w:szCs w:val="24"/>
        </w:rPr>
        <w:t xml:space="preserve">shows  negative  outcomes while assessment of  quality  of  university training,  the usefulness of the diploma, and students’ chances on the labour market, it shows a moderate outcome.  </w:t>
      </w:r>
    </w:p>
    <w:p w14:paraId="40F5100D"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The  education  system in  Romania  in  the  18</w:t>
      </w:r>
      <w:r w:rsidRPr="00FE4404">
        <w:rPr>
          <w:rFonts w:ascii="Times New Roman" w:hAnsi="Times New Roman"/>
          <w:color w:val="000000" w:themeColor="text1"/>
          <w:spacing w:val="2"/>
          <w:sz w:val="24"/>
          <w:szCs w:val="24"/>
        </w:rPr>
        <w:t>th</w:t>
      </w:r>
      <w:r w:rsidRPr="00FE4404">
        <w:rPr>
          <w:rFonts w:ascii="Times New Roman" w:hAnsi="Times New Roman"/>
          <w:color w:val="000000" w:themeColor="text1"/>
          <w:sz w:val="24"/>
          <w:szCs w:val="24"/>
        </w:rPr>
        <w:t xml:space="preserve"> and  19</w:t>
      </w:r>
      <w:r w:rsidRPr="00FE4404">
        <w:rPr>
          <w:rFonts w:ascii="Times New Roman" w:hAnsi="Times New Roman"/>
          <w:color w:val="000000" w:themeColor="text1"/>
          <w:spacing w:val="2"/>
          <w:sz w:val="24"/>
          <w:szCs w:val="24"/>
        </w:rPr>
        <w:t>th</w:t>
      </w:r>
      <w:r w:rsidRPr="00FE4404">
        <w:rPr>
          <w:rFonts w:ascii="Times New Roman" w:hAnsi="Times New Roman"/>
          <w:color w:val="000000" w:themeColor="text1"/>
          <w:sz w:val="24"/>
          <w:szCs w:val="24"/>
        </w:rPr>
        <w:t xml:space="preserve">  century  was  influenced by the ideas espoused by the classics of universal pedagogy. In the 20</w:t>
      </w:r>
      <w:r w:rsidRPr="00FE4404">
        <w:rPr>
          <w:rFonts w:ascii="Times New Roman" w:hAnsi="Times New Roman"/>
          <w:color w:val="000000" w:themeColor="text1"/>
          <w:spacing w:val="2"/>
          <w:sz w:val="24"/>
          <w:szCs w:val="24"/>
        </w:rPr>
        <w:t>th</w:t>
      </w:r>
      <w:r w:rsidRPr="00FE4404">
        <w:rPr>
          <w:rFonts w:ascii="Times New Roman" w:hAnsi="Times New Roman"/>
          <w:color w:val="000000" w:themeColor="text1"/>
          <w:sz w:val="24"/>
          <w:szCs w:val="24"/>
        </w:rPr>
        <w:t xml:space="preserve"> century, there were periods of convergence and divergence with, or from, the Western education system.  The education system  post-communism  eventuated  in  reform,  a  reform  triggered  by  educational transformations at a transnational level (aka Bologna Process).  </w:t>
      </w:r>
    </w:p>
    <w:p w14:paraId="147598AB" w14:textId="77777777" w:rsidR="00FE4404" w:rsidRPr="00FE4404" w:rsidRDefault="00FE4404" w:rsidP="00FB04A2">
      <w:pPr>
        <w:shd w:val="clear" w:color="auto" w:fill="FFFFFF"/>
        <w:spacing w:after="0" w:line="360" w:lineRule="auto"/>
        <w:ind w:firstLine="708"/>
        <w:jc w:val="both"/>
        <w:rPr>
          <w:rFonts w:ascii="Times New Roman" w:hAnsi="Times New Roman"/>
          <w:color w:val="000000" w:themeColor="text1"/>
          <w:sz w:val="24"/>
          <w:szCs w:val="24"/>
        </w:rPr>
      </w:pPr>
      <w:r w:rsidRPr="00FE4404">
        <w:rPr>
          <w:rFonts w:ascii="Times New Roman" w:hAnsi="Times New Roman"/>
          <w:color w:val="000000" w:themeColor="text1"/>
          <w:sz w:val="24"/>
          <w:szCs w:val="24"/>
        </w:rPr>
        <w:t xml:space="preserve">Whether  or  not  the  B.P.  has  been  bolstering  or  impeding  the  development  of  an innovative  education  system  in  Romania,  time  will  write  its  course.  But,  for  now,  the inevitability of questioning its efficiency within the context of accurate parameters of analysis </w:t>
      </w:r>
      <w:r w:rsidRPr="00FE4404">
        <w:rPr>
          <w:rFonts w:ascii="Times New Roman" w:hAnsi="Times New Roman"/>
          <w:color w:val="000000" w:themeColor="text1"/>
          <w:spacing w:val="2"/>
          <w:sz w:val="24"/>
          <w:szCs w:val="24"/>
        </w:rPr>
        <w:t xml:space="preserve">and </w:t>
      </w:r>
      <w:r w:rsidRPr="00FE4404">
        <w:rPr>
          <w:rFonts w:ascii="Times New Roman" w:hAnsi="Times New Roman"/>
          <w:color w:val="000000" w:themeColor="text1"/>
          <w:sz w:val="24"/>
          <w:szCs w:val="24"/>
        </w:rPr>
        <w:t>definitions - e.g., student mobility, institutional autonomy -, or lack thereof, is preordinate in establishing new lines of inquiry.</w:t>
      </w:r>
    </w:p>
    <w:p w14:paraId="7E6E98B5" w14:textId="77777777" w:rsidR="00FE4404" w:rsidRPr="00FB04A2" w:rsidRDefault="00FE4404" w:rsidP="00FE4404">
      <w:pPr>
        <w:shd w:val="clear" w:color="auto" w:fill="FFFFFF"/>
        <w:spacing w:after="0" w:line="240" w:lineRule="auto"/>
        <w:ind w:firstLine="0"/>
        <w:rPr>
          <w:rFonts w:ascii="Times New Roman" w:hAnsi="Times New Roman"/>
          <w:b/>
          <w:color w:val="000000"/>
          <w:sz w:val="24"/>
          <w:szCs w:val="24"/>
        </w:rPr>
      </w:pPr>
    </w:p>
    <w:p w14:paraId="73E5479E" w14:textId="77777777" w:rsidR="00252BBD" w:rsidRDefault="00FB04A2" w:rsidP="00252BBD">
      <w:pPr>
        <w:shd w:val="clear" w:color="auto" w:fill="FFFFFF"/>
        <w:spacing w:after="0" w:line="240" w:lineRule="auto"/>
        <w:ind w:firstLine="0"/>
        <w:rPr>
          <w:rFonts w:ascii="Times New Roman" w:hAnsi="Times New Roman"/>
          <w:b/>
          <w:color w:val="000000"/>
          <w:sz w:val="24"/>
          <w:szCs w:val="24"/>
        </w:rPr>
      </w:pPr>
      <w:r w:rsidRPr="00FB04A2">
        <w:rPr>
          <w:rFonts w:ascii="Times New Roman" w:hAnsi="Times New Roman"/>
          <w:b/>
          <w:color w:val="000000"/>
          <w:sz w:val="24"/>
          <w:szCs w:val="24"/>
        </w:rPr>
        <w:t xml:space="preserve">Ressources: </w:t>
      </w:r>
    </w:p>
    <w:p w14:paraId="3DF97FF2" w14:textId="77777777" w:rsidR="00FB04A2" w:rsidRPr="00FB04A2" w:rsidRDefault="00FB04A2" w:rsidP="00252BBD">
      <w:pPr>
        <w:shd w:val="clear" w:color="auto" w:fill="FFFFFF"/>
        <w:spacing w:after="0" w:line="240" w:lineRule="auto"/>
        <w:ind w:firstLine="0"/>
        <w:rPr>
          <w:rFonts w:ascii="Times New Roman" w:hAnsi="Times New Roman"/>
          <w:b/>
          <w:color w:val="000000"/>
          <w:sz w:val="24"/>
          <w:szCs w:val="24"/>
        </w:rPr>
      </w:pPr>
    </w:p>
    <w:p w14:paraId="27AE3105" w14:textId="77777777" w:rsidR="00FE4404" w:rsidRPr="00FB04A2" w:rsidRDefault="00FB04A2" w:rsidP="00FB04A2">
      <w:pPr>
        <w:shd w:val="clear" w:color="auto" w:fill="FFFFFF"/>
        <w:spacing w:after="0" w:line="360" w:lineRule="auto"/>
        <w:ind w:firstLine="0"/>
        <w:jc w:val="both"/>
        <w:rPr>
          <w:rFonts w:ascii="Times New Roman" w:hAnsi="Times New Roman"/>
          <w:i/>
          <w:color w:val="000000"/>
          <w:sz w:val="24"/>
          <w:szCs w:val="24"/>
        </w:rPr>
      </w:pPr>
      <w:r w:rsidRPr="00FB04A2">
        <w:rPr>
          <w:rFonts w:ascii="Times New Roman" w:hAnsi="Times New Roman"/>
          <w:color w:val="000000"/>
          <w:sz w:val="24"/>
          <w:szCs w:val="24"/>
        </w:rPr>
        <w:t>1.Bîrzea</w:t>
      </w:r>
      <w:r w:rsidR="00FE4404" w:rsidRPr="00FB04A2">
        <w:rPr>
          <w:rFonts w:ascii="Times New Roman" w:hAnsi="Times New Roman"/>
          <w:color w:val="000000"/>
          <w:sz w:val="24"/>
          <w:szCs w:val="24"/>
        </w:rPr>
        <w:t xml:space="preserve">,  C.  </w:t>
      </w:r>
      <w:r w:rsidR="00FE4404" w:rsidRPr="00FB04A2">
        <w:rPr>
          <w:rFonts w:ascii="Times New Roman" w:hAnsi="Times New Roman"/>
          <w:i/>
          <w:color w:val="000000"/>
          <w:sz w:val="24"/>
          <w:szCs w:val="24"/>
        </w:rPr>
        <w:t xml:space="preserve">The  reform  of  education  in  Romania:  conditions  and  prospects.  Bucharest: </w:t>
      </w:r>
      <w:r w:rsidR="00FE4404" w:rsidRPr="00FB04A2">
        <w:rPr>
          <w:rFonts w:ascii="Times New Roman" w:hAnsi="Times New Roman"/>
          <w:i/>
          <w:color w:val="000000"/>
          <w:spacing w:val="-2"/>
          <w:sz w:val="24"/>
          <w:szCs w:val="24"/>
        </w:rPr>
        <w:t>Mi</w:t>
      </w:r>
      <w:r w:rsidR="00FE4404" w:rsidRPr="00FB04A2">
        <w:rPr>
          <w:rFonts w:ascii="Times New Roman" w:hAnsi="Times New Roman"/>
          <w:i/>
          <w:color w:val="000000"/>
          <w:sz w:val="24"/>
          <w:szCs w:val="24"/>
        </w:rPr>
        <w:t>nistry of Education</w:t>
      </w:r>
      <w:r w:rsidR="00FE4404" w:rsidRPr="00FB04A2">
        <w:rPr>
          <w:rFonts w:ascii="Times New Roman" w:hAnsi="Times New Roman"/>
          <w:color w:val="000000"/>
          <w:sz w:val="24"/>
          <w:szCs w:val="24"/>
        </w:rPr>
        <w:t xml:space="preserve">, 1993. </w:t>
      </w:r>
    </w:p>
    <w:p w14:paraId="609B58F1" w14:textId="77777777" w:rsidR="00FE4404" w:rsidRPr="00FB04A2" w:rsidRDefault="00FB04A2"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2.Blau</w:t>
      </w:r>
      <w:r w:rsidR="00FE4404" w:rsidRPr="00FB04A2">
        <w:rPr>
          <w:rFonts w:ascii="Times New Roman" w:hAnsi="Times New Roman"/>
          <w:color w:val="000000"/>
          <w:sz w:val="24"/>
          <w:szCs w:val="24"/>
        </w:rPr>
        <w:t xml:space="preserve">, P. </w:t>
      </w:r>
      <w:r w:rsidR="00FE4404" w:rsidRPr="00FB04A2">
        <w:rPr>
          <w:rFonts w:ascii="Times New Roman" w:hAnsi="Times New Roman"/>
          <w:i/>
          <w:color w:val="000000"/>
          <w:sz w:val="24"/>
          <w:szCs w:val="24"/>
        </w:rPr>
        <w:t>A formal theory of differentiation in organisations</w:t>
      </w:r>
      <w:r w:rsidRPr="00FB04A2">
        <w:rPr>
          <w:rFonts w:ascii="Times New Roman" w:hAnsi="Times New Roman"/>
          <w:color w:val="000000"/>
          <w:sz w:val="24"/>
          <w:szCs w:val="24"/>
        </w:rPr>
        <w:t xml:space="preserve">, </w:t>
      </w:r>
      <w:r w:rsidR="00FE4404" w:rsidRPr="00FB04A2">
        <w:rPr>
          <w:rFonts w:ascii="Times New Roman" w:hAnsi="Times New Roman"/>
          <w:color w:val="000000"/>
          <w:sz w:val="24"/>
          <w:szCs w:val="24"/>
        </w:rPr>
        <w:t xml:space="preserve">American Sociological Review, v. 35, 1970, </w:t>
      </w:r>
      <w:r w:rsidR="00FE4404" w:rsidRPr="00FB04A2">
        <w:rPr>
          <w:rFonts w:ascii="Times New Roman" w:hAnsi="Times New Roman"/>
          <w:color w:val="000000"/>
          <w:spacing w:val="2"/>
          <w:sz w:val="24"/>
          <w:szCs w:val="24"/>
        </w:rPr>
        <w:t>p.</w:t>
      </w:r>
      <w:r w:rsidR="00FE4404" w:rsidRPr="00FB04A2">
        <w:rPr>
          <w:rFonts w:ascii="Times New Roman" w:hAnsi="Times New Roman"/>
          <w:color w:val="000000"/>
          <w:sz w:val="24"/>
          <w:szCs w:val="24"/>
        </w:rPr>
        <w:t xml:space="preserve"> 201-218</w:t>
      </w:r>
      <w:r w:rsidRPr="00FB04A2">
        <w:rPr>
          <w:rFonts w:ascii="Times New Roman" w:hAnsi="Times New Roman"/>
          <w:color w:val="000000"/>
          <w:sz w:val="24"/>
          <w:szCs w:val="24"/>
        </w:rPr>
        <w:t>.</w:t>
      </w:r>
    </w:p>
    <w:p w14:paraId="42B0045F" w14:textId="77777777" w:rsidR="00FE4404" w:rsidRPr="00FB04A2" w:rsidRDefault="00FB04A2"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 xml:space="preserve">3.Bologna Process, </w:t>
      </w:r>
      <w:r w:rsidR="00FE4404" w:rsidRPr="00FB04A2">
        <w:rPr>
          <w:rFonts w:ascii="Times New Roman" w:hAnsi="Times New Roman"/>
          <w:color w:val="000000"/>
          <w:sz w:val="24"/>
          <w:szCs w:val="24"/>
        </w:rPr>
        <w:t xml:space="preserve">  The  european  higher  education  area  in  2012:  Bologna  process </w:t>
      </w:r>
    </w:p>
    <w:p w14:paraId="75A47CC9" w14:textId="77777777" w:rsidR="00FE4404" w:rsidRPr="00FB04A2" w:rsidRDefault="00FE4404"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 xml:space="preserve">implementation  report.  retrieved.  August  30,  2012  from  &lt;eacea.ec.europa.eu/education/ </w:t>
      </w:r>
    </w:p>
    <w:p w14:paraId="425427C6" w14:textId="77777777" w:rsidR="00252BBD" w:rsidRPr="00FB04A2" w:rsidRDefault="00FE4404"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eurydice/...reports/138EN.pdf&gt;</w:t>
      </w:r>
    </w:p>
    <w:p w14:paraId="3186C167" w14:textId="77777777" w:rsidR="00FE4404" w:rsidRPr="00FB04A2" w:rsidRDefault="00FB04A2"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4.Damian</w:t>
      </w:r>
      <w:r w:rsidR="00FE4404" w:rsidRPr="00FB04A2">
        <w:rPr>
          <w:rFonts w:ascii="Times New Roman" w:hAnsi="Times New Roman"/>
          <w:color w:val="000000"/>
          <w:sz w:val="24"/>
          <w:szCs w:val="24"/>
        </w:rPr>
        <w:t xml:space="preserve">, R. M. The Bologna process as a reform initiative in higher education in the balkan </w:t>
      </w:r>
    </w:p>
    <w:p w14:paraId="19B66A88" w14:textId="77777777" w:rsidR="00FE4404" w:rsidRPr="00FB04A2" w:rsidRDefault="00FE4404"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countries: the case of Romania. European Education</w:t>
      </w:r>
      <w:r w:rsidRPr="00FB04A2">
        <w:rPr>
          <w:rFonts w:ascii="Times New Roman" w:hAnsi="Times New Roman"/>
          <w:color w:val="000000"/>
          <w:spacing w:val="1"/>
          <w:sz w:val="24"/>
          <w:szCs w:val="24"/>
        </w:rPr>
        <w:t xml:space="preserve">, </w:t>
      </w:r>
      <w:r w:rsidRPr="00FB04A2">
        <w:rPr>
          <w:rFonts w:ascii="Times New Roman" w:hAnsi="Times New Roman"/>
          <w:color w:val="000000"/>
          <w:sz w:val="24"/>
          <w:szCs w:val="24"/>
        </w:rPr>
        <w:t xml:space="preserve">v. </w:t>
      </w:r>
      <w:r w:rsidRPr="00FB04A2">
        <w:rPr>
          <w:rFonts w:ascii="Times New Roman" w:hAnsi="Times New Roman"/>
          <w:color w:val="000000"/>
          <w:spacing w:val="-3"/>
          <w:sz w:val="24"/>
          <w:szCs w:val="24"/>
        </w:rPr>
        <w:t>43</w:t>
      </w:r>
      <w:r w:rsidRPr="00FB04A2">
        <w:rPr>
          <w:rFonts w:ascii="Times New Roman" w:hAnsi="Times New Roman"/>
          <w:color w:val="000000"/>
          <w:sz w:val="24"/>
          <w:szCs w:val="24"/>
        </w:rPr>
        <w:t xml:space="preserve">, n. 3, 2012, </w:t>
      </w:r>
      <w:r w:rsidRPr="00FB04A2">
        <w:rPr>
          <w:rFonts w:ascii="Times New Roman" w:hAnsi="Times New Roman"/>
          <w:color w:val="000000"/>
          <w:spacing w:val="2"/>
          <w:sz w:val="24"/>
          <w:szCs w:val="24"/>
        </w:rPr>
        <w:t>p.</w:t>
      </w:r>
      <w:r w:rsidRPr="00FB04A2">
        <w:rPr>
          <w:rFonts w:ascii="Times New Roman" w:hAnsi="Times New Roman"/>
          <w:color w:val="000000"/>
          <w:sz w:val="24"/>
          <w:szCs w:val="24"/>
        </w:rPr>
        <w:t xml:space="preserve"> </w:t>
      </w:r>
      <w:r w:rsidRPr="00FB04A2">
        <w:rPr>
          <w:rFonts w:ascii="Times New Roman" w:hAnsi="Times New Roman"/>
          <w:color w:val="000000"/>
          <w:spacing w:val="2"/>
          <w:sz w:val="24"/>
          <w:szCs w:val="24"/>
        </w:rPr>
        <w:t>56</w:t>
      </w:r>
      <w:r w:rsidRPr="00FB04A2">
        <w:rPr>
          <w:rFonts w:ascii="Times New Roman" w:hAnsi="Times New Roman"/>
          <w:color w:val="000000"/>
          <w:sz w:val="24"/>
          <w:szCs w:val="24"/>
        </w:rPr>
        <w:t>-69.</w:t>
      </w:r>
    </w:p>
    <w:p w14:paraId="06219C48" w14:textId="77777777" w:rsidR="00FE4404" w:rsidRPr="00FB04A2" w:rsidRDefault="00FB04A2"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5.Miroiu, A; Vlăsceanu</w:t>
      </w:r>
      <w:r w:rsidR="00FE4404" w:rsidRPr="00FB04A2">
        <w:rPr>
          <w:rFonts w:ascii="Times New Roman" w:hAnsi="Times New Roman"/>
          <w:color w:val="000000"/>
          <w:sz w:val="24"/>
          <w:szCs w:val="24"/>
        </w:rPr>
        <w:t>, L.</w:t>
      </w:r>
      <w:r w:rsidRPr="00FB04A2">
        <w:rPr>
          <w:rFonts w:ascii="Times New Roman" w:hAnsi="Times New Roman"/>
          <w:color w:val="000000"/>
          <w:sz w:val="24"/>
          <w:szCs w:val="24"/>
        </w:rPr>
        <w:t xml:space="preserve">, </w:t>
      </w:r>
      <w:r w:rsidR="00FE4404" w:rsidRPr="00FB04A2">
        <w:rPr>
          <w:rFonts w:ascii="Times New Roman" w:hAnsi="Times New Roman"/>
          <w:color w:val="000000"/>
          <w:sz w:val="24"/>
          <w:szCs w:val="24"/>
        </w:rPr>
        <w:t xml:space="preserve"> </w:t>
      </w:r>
      <w:r w:rsidR="00FE4404" w:rsidRPr="00FB04A2">
        <w:rPr>
          <w:rFonts w:ascii="Times New Roman" w:hAnsi="Times New Roman"/>
          <w:i/>
          <w:color w:val="000000"/>
          <w:sz w:val="24"/>
          <w:szCs w:val="24"/>
        </w:rPr>
        <w:t>Relating quality and funding: the romanian case</w:t>
      </w:r>
      <w:r w:rsidR="00FE4404" w:rsidRPr="00FB04A2">
        <w:rPr>
          <w:rFonts w:ascii="Times New Roman" w:hAnsi="Times New Roman"/>
          <w:color w:val="000000"/>
          <w:sz w:val="24"/>
          <w:szCs w:val="24"/>
        </w:rPr>
        <w:t xml:space="preserve">.  </w:t>
      </w:r>
      <w:r w:rsidR="00FE4404" w:rsidRPr="00FB04A2">
        <w:rPr>
          <w:rFonts w:ascii="Times New Roman" w:hAnsi="Times New Roman"/>
          <w:color w:val="000000"/>
          <w:spacing w:val="1"/>
          <w:sz w:val="24"/>
          <w:szCs w:val="24"/>
        </w:rPr>
        <w:t>In</w:t>
      </w:r>
      <w:r w:rsidR="00FE4404" w:rsidRPr="00FB04A2">
        <w:rPr>
          <w:rFonts w:ascii="Times New Roman" w:hAnsi="Times New Roman"/>
          <w:color w:val="000000"/>
          <w:sz w:val="24"/>
          <w:szCs w:val="24"/>
        </w:rPr>
        <w:t xml:space="preserve">: CURAJ et </w:t>
      </w:r>
    </w:p>
    <w:p w14:paraId="52752476" w14:textId="77777777" w:rsidR="00FE4404" w:rsidRPr="00FB04A2" w:rsidRDefault="00FE4404"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color w:val="000000"/>
          <w:sz w:val="24"/>
          <w:szCs w:val="24"/>
        </w:rPr>
        <w:t>al (eds). E</w:t>
      </w:r>
      <w:r w:rsidRPr="00FB04A2">
        <w:rPr>
          <w:rFonts w:ascii="Times New Roman" w:hAnsi="Times New Roman"/>
          <w:color w:val="000000"/>
          <w:spacing w:val="2"/>
          <w:sz w:val="24"/>
          <w:szCs w:val="24"/>
        </w:rPr>
        <w:t>hea</w:t>
      </w:r>
      <w:r w:rsidRPr="00FB04A2">
        <w:rPr>
          <w:rFonts w:ascii="Times New Roman" w:hAnsi="Times New Roman"/>
          <w:color w:val="000000"/>
          <w:sz w:val="24"/>
          <w:szCs w:val="24"/>
        </w:rPr>
        <w:t xml:space="preserve">  at  the  crossroads: between Bologna  process and national reforms,  2012,  </w:t>
      </w:r>
      <w:r w:rsidRPr="00FB04A2">
        <w:rPr>
          <w:rFonts w:ascii="Times New Roman" w:hAnsi="Times New Roman"/>
          <w:color w:val="000000"/>
          <w:spacing w:val="2"/>
          <w:sz w:val="24"/>
          <w:szCs w:val="24"/>
        </w:rPr>
        <w:t>p.</w:t>
      </w:r>
      <w:r w:rsidRPr="00FB04A2">
        <w:rPr>
          <w:rFonts w:ascii="Times New Roman" w:hAnsi="Times New Roman"/>
          <w:color w:val="000000"/>
          <w:sz w:val="24"/>
          <w:szCs w:val="24"/>
        </w:rPr>
        <w:t xml:space="preserve"> </w:t>
      </w:r>
    </w:p>
    <w:p w14:paraId="7304A672" w14:textId="77777777" w:rsidR="00FE4404" w:rsidRPr="00FB04A2" w:rsidRDefault="00FE4404" w:rsidP="00FB04A2">
      <w:pPr>
        <w:shd w:val="clear" w:color="auto" w:fill="FFFFFF"/>
        <w:spacing w:after="0" w:line="360" w:lineRule="auto"/>
        <w:ind w:firstLine="0"/>
        <w:jc w:val="both"/>
        <w:rPr>
          <w:rFonts w:ascii="Times New Roman" w:hAnsi="Times New Roman"/>
          <w:color w:val="000000"/>
          <w:spacing w:val="2"/>
          <w:sz w:val="24"/>
          <w:szCs w:val="24"/>
        </w:rPr>
      </w:pPr>
      <w:r w:rsidRPr="00FB04A2">
        <w:rPr>
          <w:rFonts w:ascii="Times New Roman" w:hAnsi="Times New Roman"/>
          <w:color w:val="000000"/>
          <w:spacing w:val="2"/>
          <w:sz w:val="24"/>
          <w:szCs w:val="24"/>
        </w:rPr>
        <w:t>791</w:t>
      </w:r>
      <w:r w:rsidRPr="00FB04A2">
        <w:rPr>
          <w:rFonts w:ascii="Times New Roman" w:hAnsi="Times New Roman"/>
          <w:color w:val="000000"/>
          <w:sz w:val="24"/>
          <w:szCs w:val="24"/>
        </w:rPr>
        <w:t>-885.</w:t>
      </w:r>
    </w:p>
    <w:p w14:paraId="14724C9E" w14:textId="77777777" w:rsidR="00FE4404" w:rsidRPr="00FB04A2" w:rsidRDefault="00FB04A2" w:rsidP="00FB04A2">
      <w:pPr>
        <w:shd w:val="clear" w:color="auto" w:fill="FFFFFF"/>
        <w:spacing w:after="0" w:line="360" w:lineRule="auto"/>
        <w:ind w:firstLine="0"/>
        <w:jc w:val="both"/>
        <w:rPr>
          <w:rFonts w:ascii="Times New Roman" w:hAnsi="Times New Roman"/>
          <w:i/>
          <w:color w:val="000000"/>
          <w:sz w:val="24"/>
          <w:szCs w:val="24"/>
        </w:rPr>
      </w:pPr>
      <w:r w:rsidRPr="00FB04A2">
        <w:rPr>
          <w:rFonts w:ascii="Times New Roman" w:hAnsi="Times New Roman"/>
          <w:color w:val="000000"/>
          <w:sz w:val="24"/>
          <w:szCs w:val="24"/>
        </w:rPr>
        <w:t>6.Popescu</w:t>
      </w:r>
      <w:r w:rsidR="00FE4404" w:rsidRPr="00FB04A2">
        <w:rPr>
          <w:rFonts w:ascii="Times New Roman" w:hAnsi="Times New Roman"/>
          <w:color w:val="000000"/>
          <w:sz w:val="24"/>
          <w:szCs w:val="24"/>
        </w:rPr>
        <w:t>,  Ana-Cristina</w:t>
      </w:r>
      <w:r w:rsidRPr="00FB04A2">
        <w:rPr>
          <w:rFonts w:ascii="Times New Roman" w:hAnsi="Times New Roman"/>
          <w:color w:val="000000"/>
          <w:spacing w:val="1"/>
          <w:sz w:val="24"/>
          <w:szCs w:val="24"/>
        </w:rPr>
        <w:t>,</w:t>
      </w:r>
      <w:r w:rsidR="00FE4404" w:rsidRPr="00FB04A2">
        <w:rPr>
          <w:rFonts w:ascii="Times New Roman" w:hAnsi="Times New Roman"/>
          <w:color w:val="000000"/>
          <w:spacing w:val="1"/>
          <w:sz w:val="24"/>
          <w:szCs w:val="24"/>
        </w:rPr>
        <w:t xml:space="preserve">  </w:t>
      </w:r>
      <w:r w:rsidR="00FE4404" w:rsidRPr="00FB04A2">
        <w:rPr>
          <w:rFonts w:ascii="Times New Roman" w:hAnsi="Times New Roman"/>
          <w:i/>
          <w:color w:val="000000"/>
          <w:sz w:val="24"/>
          <w:szCs w:val="24"/>
        </w:rPr>
        <w:t xml:space="preserve">The  decentralisation  of  the  school  system  in  post-communist </w:t>
      </w:r>
    </w:p>
    <w:p w14:paraId="7FF1FDC5" w14:textId="77777777" w:rsidR="00FE4404" w:rsidRPr="00FB04A2" w:rsidRDefault="00FE4404" w:rsidP="00FB04A2">
      <w:pPr>
        <w:shd w:val="clear" w:color="auto" w:fill="FFFFFF"/>
        <w:spacing w:after="0" w:line="360" w:lineRule="auto"/>
        <w:ind w:firstLine="0"/>
        <w:jc w:val="both"/>
        <w:rPr>
          <w:rFonts w:ascii="Times New Roman" w:hAnsi="Times New Roman"/>
          <w:color w:val="000000"/>
          <w:sz w:val="24"/>
          <w:szCs w:val="24"/>
        </w:rPr>
      </w:pPr>
      <w:r w:rsidRPr="00FB04A2">
        <w:rPr>
          <w:rFonts w:ascii="Times New Roman" w:hAnsi="Times New Roman"/>
          <w:i/>
          <w:color w:val="000000"/>
          <w:sz w:val="24"/>
          <w:szCs w:val="24"/>
        </w:rPr>
        <w:t>Romania. Journal of Educational Administration and History</w:t>
      </w:r>
      <w:r w:rsidRPr="00FB04A2">
        <w:rPr>
          <w:rFonts w:ascii="Times New Roman" w:hAnsi="Times New Roman"/>
          <w:color w:val="000000"/>
          <w:sz w:val="24"/>
          <w:szCs w:val="24"/>
        </w:rPr>
        <w:t xml:space="preserve">, v. </w:t>
      </w:r>
      <w:r w:rsidRPr="00FB04A2">
        <w:rPr>
          <w:rFonts w:ascii="Times New Roman" w:hAnsi="Times New Roman"/>
          <w:color w:val="000000"/>
          <w:spacing w:val="2"/>
          <w:sz w:val="24"/>
          <w:szCs w:val="24"/>
        </w:rPr>
        <w:t>42</w:t>
      </w:r>
      <w:r w:rsidRPr="00FB04A2">
        <w:rPr>
          <w:rFonts w:ascii="Times New Roman" w:hAnsi="Times New Roman"/>
          <w:color w:val="000000"/>
          <w:sz w:val="24"/>
          <w:szCs w:val="24"/>
        </w:rPr>
        <w:t xml:space="preserve">, n. 3, 2010, </w:t>
      </w:r>
      <w:r w:rsidRPr="00FB04A2">
        <w:rPr>
          <w:rFonts w:ascii="Times New Roman" w:hAnsi="Times New Roman"/>
          <w:color w:val="000000"/>
          <w:spacing w:val="2"/>
          <w:sz w:val="24"/>
          <w:szCs w:val="24"/>
        </w:rPr>
        <w:t>p.</w:t>
      </w:r>
      <w:r w:rsidRPr="00FB04A2">
        <w:rPr>
          <w:rFonts w:ascii="Times New Roman" w:hAnsi="Times New Roman"/>
          <w:color w:val="000000"/>
          <w:sz w:val="24"/>
          <w:szCs w:val="24"/>
        </w:rPr>
        <w:t xml:space="preserve"> 315-336.</w:t>
      </w:r>
    </w:p>
    <w:p w14:paraId="01A16D80" w14:textId="77777777" w:rsidR="00252BBD" w:rsidRPr="00FB04A2" w:rsidRDefault="00252BBD" w:rsidP="00FB04A2">
      <w:pPr>
        <w:spacing w:after="0" w:line="360" w:lineRule="auto"/>
        <w:jc w:val="both"/>
        <w:rPr>
          <w:rFonts w:ascii="Times New Roman" w:hAnsi="Times New Roman"/>
          <w:b/>
          <w:i/>
          <w:sz w:val="20"/>
          <w:szCs w:val="20"/>
        </w:rPr>
      </w:pPr>
    </w:p>
    <w:sectPr w:rsidR="00252BBD" w:rsidRPr="00FB04A2" w:rsidSect="00252BBD">
      <w:footerReference w:type="default" r:id="rId6"/>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EA22B" w14:textId="77777777" w:rsidR="00B4059D" w:rsidRDefault="00B4059D" w:rsidP="00FE4404">
      <w:pPr>
        <w:spacing w:after="0" w:line="240" w:lineRule="auto"/>
      </w:pPr>
      <w:r>
        <w:separator/>
      </w:r>
    </w:p>
  </w:endnote>
  <w:endnote w:type="continuationSeparator" w:id="0">
    <w:p w14:paraId="046D0754" w14:textId="77777777" w:rsidR="00B4059D" w:rsidRDefault="00B4059D" w:rsidP="00FE4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24529"/>
      <w:docPartObj>
        <w:docPartGallery w:val="Page Numbers (Bottom of Page)"/>
        <w:docPartUnique/>
      </w:docPartObj>
    </w:sdtPr>
    <w:sdtEndPr/>
    <w:sdtContent>
      <w:p w14:paraId="0F993687" w14:textId="77777777" w:rsidR="00FE4404" w:rsidRDefault="00B4059D">
        <w:pPr>
          <w:pStyle w:val="Footer"/>
          <w:jc w:val="center"/>
        </w:pPr>
        <w:r>
          <w:fldChar w:fldCharType="begin"/>
        </w:r>
        <w:r>
          <w:instrText xml:space="preserve"> PAGE   \* MERGEFORMAT </w:instrText>
        </w:r>
        <w:r>
          <w:fldChar w:fldCharType="separate"/>
        </w:r>
        <w:r w:rsidR="00FB04A2">
          <w:rPr>
            <w:noProof/>
          </w:rPr>
          <w:t>1</w:t>
        </w:r>
        <w:r>
          <w:rPr>
            <w:noProof/>
          </w:rPr>
          <w:fldChar w:fldCharType="end"/>
        </w:r>
      </w:p>
    </w:sdtContent>
  </w:sdt>
  <w:p w14:paraId="03CD985D" w14:textId="77777777" w:rsidR="00FE4404" w:rsidRDefault="00FE44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C286F3" w14:textId="77777777" w:rsidR="00B4059D" w:rsidRDefault="00B4059D" w:rsidP="00FE4404">
      <w:pPr>
        <w:spacing w:after="0" w:line="240" w:lineRule="auto"/>
      </w:pPr>
      <w:r>
        <w:separator/>
      </w:r>
    </w:p>
  </w:footnote>
  <w:footnote w:type="continuationSeparator" w:id="0">
    <w:p w14:paraId="76B89196" w14:textId="77777777" w:rsidR="00B4059D" w:rsidRDefault="00B4059D" w:rsidP="00FE44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BBD"/>
    <w:rsid w:val="00006858"/>
    <w:rsid w:val="000719EA"/>
    <w:rsid w:val="001467B7"/>
    <w:rsid w:val="0018268A"/>
    <w:rsid w:val="00252BBD"/>
    <w:rsid w:val="002B3792"/>
    <w:rsid w:val="00306A60"/>
    <w:rsid w:val="00922B5C"/>
    <w:rsid w:val="009C131A"/>
    <w:rsid w:val="00A1555C"/>
    <w:rsid w:val="00A76925"/>
    <w:rsid w:val="00B4059D"/>
    <w:rsid w:val="00FB04A2"/>
    <w:rsid w:val="00FE440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28215"/>
  <w15:docId w15:val="{C947F3BA-95BC-45F6-B865-5C5164B3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ro-RO" w:eastAsia="ro-RO" w:bidi="ar-SA"/>
      </w:rPr>
    </w:rPrDefault>
    <w:pPrDefault>
      <w:pPr>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06858"/>
    <w:pPr>
      <w:spacing w:after="200" w:line="276" w:lineRule="auto"/>
    </w:pPr>
    <w:rPr>
      <w:sz w:val="22"/>
      <w:szCs w:val="22"/>
    </w:rPr>
  </w:style>
  <w:style w:type="paragraph" w:styleId="Heading1">
    <w:name w:val="heading 1"/>
    <w:basedOn w:val="Normal"/>
    <w:next w:val="Normal"/>
    <w:link w:val="Heading1Char"/>
    <w:uiPriority w:val="9"/>
    <w:qFormat/>
    <w:rsid w:val="00006858"/>
    <w:pPr>
      <w:keepNext/>
      <w:keepLines/>
      <w:spacing w:before="240" w:after="0" w:line="259" w:lineRule="auto"/>
      <w:outlineLvl w:val="0"/>
    </w:pPr>
    <w:rPr>
      <w:rFonts w:ascii="Calibri Light"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858"/>
    <w:rPr>
      <w:rFonts w:ascii="Calibri Light" w:hAnsi="Calibri Light"/>
      <w:color w:val="2E74B5"/>
      <w:sz w:val="32"/>
      <w:szCs w:val="32"/>
    </w:rPr>
  </w:style>
  <w:style w:type="paragraph" w:styleId="NoSpacing">
    <w:name w:val="No Spacing"/>
    <w:uiPriority w:val="1"/>
    <w:qFormat/>
    <w:rsid w:val="00006858"/>
    <w:rPr>
      <w:sz w:val="22"/>
      <w:szCs w:val="22"/>
    </w:rPr>
  </w:style>
  <w:style w:type="paragraph" w:styleId="ListParagraph">
    <w:name w:val="List Paragraph"/>
    <w:basedOn w:val="Normal"/>
    <w:uiPriority w:val="34"/>
    <w:qFormat/>
    <w:rsid w:val="00006858"/>
    <w:pPr>
      <w:spacing w:after="160" w:line="259" w:lineRule="auto"/>
      <w:ind w:left="720"/>
      <w:contextualSpacing/>
    </w:pPr>
    <w:rPr>
      <w:rFonts w:eastAsia="Calibri"/>
      <w:lang w:val="en-US" w:eastAsia="en-US"/>
    </w:rPr>
  </w:style>
  <w:style w:type="character" w:customStyle="1" w:styleId="a">
    <w:name w:val="_"/>
    <w:basedOn w:val="DefaultParagraphFont"/>
    <w:rsid w:val="00252BBD"/>
  </w:style>
  <w:style w:type="character" w:customStyle="1" w:styleId="ff1">
    <w:name w:val="ff1"/>
    <w:basedOn w:val="DefaultParagraphFont"/>
    <w:rsid w:val="00252BBD"/>
  </w:style>
  <w:style w:type="character" w:customStyle="1" w:styleId="ls0">
    <w:name w:val="ls0"/>
    <w:basedOn w:val="DefaultParagraphFont"/>
    <w:rsid w:val="00252BBD"/>
  </w:style>
  <w:style w:type="character" w:customStyle="1" w:styleId="ls2">
    <w:name w:val="ls2"/>
    <w:basedOn w:val="DefaultParagraphFont"/>
    <w:rsid w:val="00252BBD"/>
  </w:style>
  <w:style w:type="character" w:customStyle="1" w:styleId="ff5">
    <w:name w:val="ff5"/>
    <w:basedOn w:val="DefaultParagraphFont"/>
    <w:rsid w:val="00252BBD"/>
  </w:style>
  <w:style w:type="character" w:customStyle="1" w:styleId="ff3">
    <w:name w:val="ff3"/>
    <w:basedOn w:val="DefaultParagraphFont"/>
    <w:rsid w:val="00252BBD"/>
  </w:style>
  <w:style w:type="character" w:customStyle="1" w:styleId="ls11">
    <w:name w:val="ls11"/>
    <w:basedOn w:val="DefaultParagraphFont"/>
    <w:rsid w:val="00252BBD"/>
  </w:style>
  <w:style w:type="character" w:customStyle="1" w:styleId="ff6">
    <w:name w:val="ff6"/>
    <w:basedOn w:val="DefaultParagraphFont"/>
    <w:rsid w:val="00252BBD"/>
  </w:style>
  <w:style w:type="character" w:customStyle="1" w:styleId="ls10">
    <w:name w:val="ls10"/>
    <w:basedOn w:val="DefaultParagraphFont"/>
    <w:rsid w:val="00FE4404"/>
  </w:style>
  <w:style w:type="character" w:customStyle="1" w:styleId="ff4">
    <w:name w:val="ff4"/>
    <w:basedOn w:val="DefaultParagraphFont"/>
    <w:rsid w:val="00FE4404"/>
  </w:style>
  <w:style w:type="character" w:customStyle="1" w:styleId="lsb">
    <w:name w:val="lsb"/>
    <w:basedOn w:val="DefaultParagraphFont"/>
    <w:rsid w:val="00FE4404"/>
  </w:style>
  <w:style w:type="character" w:customStyle="1" w:styleId="lsd">
    <w:name w:val="lsd"/>
    <w:basedOn w:val="DefaultParagraphFont"/>
    <w:rsid w:val="00FE4404"/>
  </w:style>
  <w:style w:type="paragraph" w:styleId="Header">
    <w:name w:val="header"/>
    <w:basedOn w:val="Normal"/>
    <w:link w:val="HeaderChar"/>
    <w:uiPriority w:val="99"/>
    <w:semiHidden/>
    <w:unhideWhenUsed/>
    <w:rsid w:val="00FE440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E4404"/>
    <w:rPr>
      <w:sz w:val="22"/>
      <w:szCs w:val="22"/>
    </w:rPr>
  </w:style>
  <w:style w:type="paragraph" w:styleId="Footer">
    <w:name w:val="footer"/>
    <w:basedOn w:val="Normal"/>
    <w:link w:val="FooterChar"/>
    <w:uiPriority w:val="99"/>
    <w:unhideWhenUsed/>
    <w:rsid w:val="00FE4404"/>
    <w:pPr>
      <w:tabs>
        <w:tab w:val="center" w:pos="4536"/>
        <w:tab w:val="right" w:pos="9072"/>
      </w:tabs>
      <w:spacing w:after="0" w:line="240" w:lineRule="auto"/>
    </w:pPr>
  </w:style>
  <w:style w:type="character" w:customStyle="1" w:styleId="FooterChar">
    <w:name w:val="Footer Char"/>
    <w:basedOn w:val="DefaultParagraphFont"/>
    <w:link w:val="Footer"/>
    <w:uiPriority w:val="99"/>
    <w:rsid w:val="00FE440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06">
      <w:bodyDiv w:val="1"/>
      <w:marLeft w:val="0"/>
      <w:marRight w:val="0"/>
      <w:marTop w:val="0"/>
      <w:marBottom w:val="0"/>
      <w:divBdr>
        <w:top w:val="none" w:sz="0" w:space="0" w:color="auto"/>
        <w:left w:val="none" w:sz="0" w:space="0" w:color="auto"/>
        <w:bottom w:val="none" w:sz="0" w:space="0" w:color="auto"/>
        <w:right w:val="none" w:sz="0" w:space="0" w:color="auto"/>
      </w:divBdr>
    </w:div>
    <w:div w:id="178743642">
      <w:bodyDiv w:val="1"/>
      <w:marLeft w:val="0"/>
      <w:marRight w:val="0"/>
      <w:marTop w:val="0"/>
      <w:marBottom w:val="0"/>
      <w:divBdr>
        <w:top w:val="none" w:sz="0" w:space="0" w:color="auto"/>
        <w:left w:val="none" w:sz="0" w:space="0" w:color="auto"/>
        <w:bottom w:val="none" w:sz="0" w:space="0" w:color="auto"/>
        <w:right w:val="none" w:sz="0" w:space="0" w:color="auto"/>
      </w:divBdr>
    </w:div>
    <w:div w:id="241791680">
      <w:bodyDiv w:val="1"/>
      <w:marLeft w:val="0"/>
      <w:marRight w:val="0"/>
      <w:marTop w:val="0"/>
      <w:marBottom w:val="0"/>
      <w:divBdr>
        <w:top w:val="none" w:sz="0" w:space="0" w:color="auto"/>
        <w:left w:val="none" w:sz="0" w:space="0" w:color="auto"/>
        <w:bottom w:val="none" w:sz="0" w:space="0" w:color="auto"/>
        <w:right w:val="none" w:sz="0" w:space="0" w:color="auto"/>
      </w:divBdr>
    </w:div>
    <w:div w:id="316961938">
      <w:bodyDiv w:val="1"/>
      <w:marLeft w:val="0"/>
      <w:marRight w:val="0"/>
      <w:marTop w:val="0"/>
      <w:marBottom w:val="0"/>
      <w:divBdr>
        <w:top w:val="none" w:sz="0" w:space="0" w:color="auto"/>
        <w:left w:val="none" w:sz="0" w:space="0" w:color="auto"/>
        <w:bottom w:val="none" w:sz="0" w:space="0" w:color="auto"/>
        <w:right w:val="none" w:sz="0" w:space="0" w:color="auto"/>
      </w:divBdr>
    </w:div>
    <w:div w:id="319431322">
      <w:bodyDiv w:val="1"/>
      <w:marLeft w:val="0"/>
      <w:marRight w:val="0"/>
      <w:marTop w:val="0"/>
      <w:marBottom w:val="0"/>
      <w:divBdr>
        <w:top w:val="none" w:sz="0" w:space="0" w:color="auto"/>
        <w:left w:val="none" w:sz="0" w:space="0" w:color="auto"/>
        <w:bottom w:val="none" w:sz="0" w:space="0" w:color="auto"/>
        <w:right w:val="none" w:sz="0" w:space="0" w:color="auto"/>
      </w:divBdr>
    </w:div>
    <w:div w:id="429358041">
      <w:bodyDiv w:val="1"/>
      <w:marLeft w:val="0"/>
      <w:marRight w:val="0"/>
      <w:marTop w:val="0"/>
      <w:marBottom w:val="0"/>
      <w:divBdr>
        <w:top w:val="none" w:sz="0" w:space="0" w:color="auto"/>
        <w:left w:val="none" w:sz="0" w:space="0" w:color="auto"/>
        <w:bottom w:val="none" w:sz="0" w:space="0" w:color="auto"/>
        <w:right w:val="none" w:sz="0" w:space="0" w:color="auto"/>
      </w:divBdr>
    </w:div>
    <w:div w:id="662589373">
      <w:bodyDiv w:val="1"/>
      <w:marLeft w:val="0"/>
      <w:marRight w:val="0"/>
      <w:marTop w:val="0"/>
      <w:marBottom w:val="0"/>
      <w:divBdr>
        <w:top w:val="none" w:sz="0" w:space="0" w:color="auto"/>
        <w:left w:val="none" w:sz="0" w:space="0" w:color="auto"/>
        <w:bottom w:val="none" w:sz="0" w:space="0" w:color="auto"/>
        <w:right w:val="none" w:sz="0" w:space="0" w:color="auto"/>
      </w:divBdr>
    </w:div>
    <w:div w:id="723531753">
      <w:bodyDiv w:val="1"/>
      <w:marLeft w:val="0"/>
      <w:marRight w:val="0"/>
      <w:marTop w:val="0"/>
      <w:marBottom w:val="0"/>
      <w:divBdr>
        <w:top w:val="none" w:sz="0" w:space="0" w:color="auto"/>
        <w:left w:val="none" w:sz="0" w:space="0" w:color="auto"/>
        <w:bottom w:val="none" w:sz="0" w:space="0" w:color="auto"/>
        <w:right w:val="none" w:sz="0" w:space="0" w:color="auto"/>
      </w:divBdr>
      <w:divsChild>
        <w:div w:id="1391461639">
          <w:marLeft w:val="0"/>
          <w:marRight w:val="0"/>
          <w:marTop w:val="0"/>
          <w:marBottom w:val="0"/>
          <w:divBdr>
            <w:top w:val="none" w:sz="0" w:space="0" w:color="auto"/>
            <w:left w:val="none" w:sz="0" w:space="0" w:color="auto"/>
            <w:bottom w:val="none" w:sz="0" w:space="0" w:color="auto"/>
            <w:right w:val="none" w:sz="0" w:space="0" w:color="auto"/>
          </w:divBdr>
        </w:div>
        <w:div w:id="2019187731">
          <w:marLeft w:val="0"/>
          <w:marRight w:val="0"/>
          <w:marTop w:val="0"/>
          <w:marBottom w:val="0"/>
          <w:divBdr>
            <w:top w:val="none" w:sz="0" w:space="0" w:color="auto"/>
            <w:left w:val="none" w:sz="0" w:space="0" w:color="auto"/>
            <w:bottom w:val="none" w:sz="0" w:space="0" w:color="auto"/>
            <w:right w:val="none" w:sz="0" w:space="0" w:color="auto"/>
          </w:divBdr>
        </w:div>
        <w:div w:id="1693603383">
          <w:marLeft w:val="0"/>
          <w:marRight w:val="0"/>
          <w:marTop w:val="0"/>
          <w:marBottom w:val="0"/>
          <w:divBdr>
            <w:top w:val="none" w:sz="0" w:space="0" w:color="auto"/>
            <w:left w:val="none" w:sz="0" w:space="0" w:color="auto"/>
            <w:bottom w:val="none" w:sz="0" w:space="0" w:color="auto"/>
            <w:right w:val="none" w:sz="0" w:space="0" w:color="auto"/>
          </w:divBdr>
        </w:div>
        <w:div w:id="518274856">
          <w:marLeft w:val="0"/>
          <w:marRight w:val="0"/>
          <w:marTop w:val="0"/>
          <w:marBottom w:val="0"/>
          <w:divBdr>
            <w:top w:val="none" w:sz="0" w:space="0" w:color="auto"/>
            <w:left w:val="none" w:sz="0" w:space="0" w:color="auto"/>
            <w:bottom w:val="none" w:sz="0" w:space="0" w:color="auto"/>
            <w:right w:val="none" w:sz="0" w:space="0" w:color="auto"/>
          </w:divBdr>
        </w:div>
        <w:div w:id="1956866059">
          <w:marLeft w:val="0"/>
          <w:marRight w:val="0"/>
          <w:marTop w:val="0"/>
          <w:marBottom w:val="0"/>
          <w:divBdr>
            <w:top w:val="none" w:sz="0" w:space="0" w:color="auto"/>
            <w:left w:val="none" w:sz="0" w:space="0" w:color="auto"/>
            <w:bottom w:val="none" w:sz="0" w:space="0" w:color="auto"/>
            <w:right w:val="none" w:sz="0" w:space="0" w:color="auto"/>
          </w:divBdr>
        </w:div>
        <w:div w:id="214780151">
          <w:marLeft w:val="0"/>
          <w:marRight w:val="0"/>
          <w:marTop w:val="0"/>
          <w:marBottom w:val="0"/>
          <w:divBdr>
            <w:top w:val="none" w:sz="0" w:space="0" w:color="auto"/>
            <w:left w:val="none" w:sz="0" w:space="0" w:color="auto"/>
            <w:bottom w:val="none" w:sz="0" w:space="0" w:color="auto"/>
            <w:right w:val="none" w:sz="0" w:space="0" w:color="auto"/>
          </w:divBdr>
        </w:div>
        <w:div w:id="1050229915">
          <w:marLeft w:val="0"/>
          <w:marRight w:val="0"/>
          <w:marTop w:val="0"/>
          <w:marBottom w:val="0"/>
          <w:divBdr>
            <w:top w:val="none" w:sz="0" w:space="0" w:color="auto"/>
            <w:left w:val="none" w:sz="0" w:space="0" w:color="auto"/>
            <w:bottom w:val="none" w:sz="0" w:space="0" w:color="auto"/>
            <w:right w:val="none" w:sz="0" w:space="0" w:color="auto"/>
          </w:divBdr>
        </w:div>
      </w:divsChild>
    </w:div>
    <w:div w:id="836068441">
      <w:bodyDiv w:val="1"/>
      <w:marLeft w:val="0"/>
      <w:marRight w:val="0"/>
      <w:marTop w:val="0"/>
      <w:marBottom w:val="0"/>
      <w:divBdr>
        <w:top w:val="none" w:sz="0" w:space="0" w:color="auto"/>
        <w:left w:val="none" w:sz="0" w:space="0" w:color="auto"/>
        <w:bottom w:val="none" w:sz="0" w:space="0" w:color="auto"/>
        <w:right w:val="none" w:sz="0" w:space="0" w:color="auto"/>
      </w:divBdr>
    </w:div>
    <w:div w:id="871303427">
      <w:bodyDiv w:val="1"/>
      <w:marLeft w:val="0"/>
      <w:marRight w:val="0"/>
      <w:marTop w:val="0"/>
      <w:marBottom w:val="0"/>
      <w:divBdr>
        <w:top w:val="none" w:sz="0" w:space="0" w:color="auto"/>
        <w:left w:val="none" w:sz="0" w:space="0" w:color="auto"/>
        <w:bottom w:val="none" w:sz="0" w:space="0" w:color="auto"/>
        <w:right w:val="none" w:sz="0" w:space="0" w:color="auto"/>
      </w:divBdr>
    </w:div>
    <w:div w:id="932054090">
      <w:bodyDiv w:val="1"/>
      <w:marLeft w:val="0"/>
      <w:marRight w:val="0"/>
      <w:marTop w:val="0"/>
      <w:marBottom w:val="0"/>
      <w:divBdr>
        <w:top w:val="none" w:sz="0" w:space="0" w:color="auto"/>
        <w:left w:val="none" w:sz="0" w:space="0" w:color="auto"/>
        <w:bottom w:val="none" w:sz="0" w:space="0" w:color="auto"/>
        <w:right w:val="none" w:sz="0" w:space="0" w:color="auto"/>
      </w:divBdr>
      <w:divsChild>
        <w:div w:id="1881236132">
          <w:marLeft w:val="0"/>
          <w:marRight w:val="0"/>
          <w:marTop w:val="0"/>
          <w:marBottom w:val="0"/>
          <w:divBdr>
            <w:top w:val="none" w:sz="0" w:space="0" w:color="auto"/>
            <w:left w:val="none" w:sz="0" w:space="0" w:color="auto"/>
            <w:bottom w:val="none" w:sz="0" w:space="0" w:color="auto"/>
            <w:right w:val="none" w:sz="0" w:space="0" w:color="auto"/>
          </w:divBdr>
        </w:div>
        <w:div w:id="1078600726">
          <w:marLeft w:val="0"/>
          <w:marRight w:val="0"/>
          <w:marTop w:val="0"/>
          <w:marBottom w:val="0"/>
          <w:divBdr>
            <w:top w:val="none" w:sz="0" w:space="0" w:color="auto"/>
            <w:left w:val="none" w:sz="0" w:space="0" w:color="auto"/>
            <w:bottom w:val="none" w:sz="0" w:space="0" w:color="auto"/>
            <w:right w:val="none" w:sz="0" w:space="0" w:color="auto"/>
          </w:divBdr>
        </w:div>
        <w:div w:id="1811048618">
          <w:marLeft w:val="0"/>
          <w:marRight w:val="0"/>
          <w:marTop w:val="0"/>
          <w:marBottom w:val="0"/>
          <w:divBdr>
            <w:top w:val="none" w:sz="0" w:space="0" w:color="auto"/>
            <w:left w:val="none" w:sz="0" w:space="0" w:color="auto"/>
            <w:bottom w:val="none" w:sz="0" w:space="0" w:color="auto"/>
            <w:right w:val="none" w:sz="0" w:space="0" w:color="auto"/>
          </w:divBdr>
        </w:div>
        <w:div w:id="1984115429">
          <w:marLeft w:val="0"/>
          <w:marRight w:val="0"/>
          <w:marTop w:val="0"/>
          <w:marBottom w:val="0"/>
          <w:divBdr>
            <w:top w:val="none" w:sz="0" w:space="0" w:color="auto"/>
            <w:left w:val="none" w:sz="0" w:space="0" w:color="auto"/>
            <w:bottom w:val="none" w:sz="0" w:space="0" w:color="auto"/>
            <w:right w:val="none" w:sz="0" w:space="0" w:color="auto"/>
          </w:divBdr>
        </w:div>
        <w:div w:id="624166493">
          <w:marLeft w:val="0"/>
          <w:marRight w:val="0"/>
          <w:marTop w:val="0"/>
          <w:marBottom w:val="0"/>
          <w:divBdr>
            <w:top w:val="none" w:sz="0" w:space="0" w:color="auto"/>
            <w:left w:val="none" w:sz="0" w:space="0" w:color="auto"/>
            <w:bottom w:val="none" w:sz="0" w:space="0" w:color="auto"/>
            <w:right w:val="none" w:sz="0" w:space="0" w:color="auto"/>
          </w:divBdr>
        </w:div>
        <w:div w:id="900288010">
          <w:marLeft w:val="0"/>
          <w:marRight w:val="0"/>
          <w:marTop w:val="0"/>
          <w:marBottom w:val="0"/>
          <w:divBdr>
            <w:top w:val="none" w:sz="0" w:space="0" w:color="auto"/>
            <w:left w:val="none" w:sz="0" w:space="0" w:color="auto"/>
            <w:bottom w:val="none" w:sz="0" w:space="0" w:color="auto"/>
            <w:right w:val="none" w:sz="0" w:space="0" w:color="auto"/>
          </w:divBdr>
        </w:div>
        <w:div w:id="2032415479">
          <w:marLeft w:val="0"/>
          <w:marRight w:val="0"/>
          <w:marTop w:val="0"/>
          <w:marBottom w:val="0"/>
          <w:divBdr>
            <w:top w:val="none" w:sz="0" w:space="0" w:color="auto"/>
            <w:left w:val="none" w:sz="0" w:space="0" w:color="auto"/>
            <w:bottom w:val="none" w:sz="0" w:space="0" w:color="auto"/>
            <w:right w:val="none" w:sz="0" w:space="0" w:color="auto"/>
          </w:divBdr>
        </w:div>
      </w:divsChild>
    </w:div>
    <w:div w:id="989018284">
      <w:bodyDiv w:val="1"/>
      <w:marLeft w:val="0"/>
      <w:marRight w:val="0"/>
      <w:marTop w:val="0"/>
      <w:marBottom w:val="0"/>
      <w:divBdr>
        <w:top w:val="none" w:sz="0" w:space="0" w:color="auto"/>
        <w:left w:val="none" w:sz="0" w:space="0" w:color="auto"/>
        <w:bottom w:val="none" w:sz="0" w:space="0" w:color="auto"/>
        <w:right w:val="none" w:sz="0" w:space="0" w:color="auto"/>
      </w:divBdr>
    </w:div>
    <w:div w:id="1173766206">
      <w:bodyDiv w:val="1"/>
      <w:marLeft w:val="0"/>
      <w:marRight w:val="0"/>
      <w:marTop w:val="0"/>
      <w:marBottom w:val="0"/>
      <w:divBdr>
        <w:top w:val="none" w:sz="0" w:space="0" w:color="auto"/>
        <w:left w:val="none" w:sz="0" w:space="0" w:color="auto"/>
        <w:bottom w:val="none" w:sz="0" w:space="0" w:color="auto"/>
        <w:right w:val="none" w:sz="0" w:space="0" w:color="auto"/>
      </w:divBdr>
    </w:div>
    <w:div w:id="1302275101">
      <w:bodyDiv w:val="1"/>
      <w:marLeft w:val="0"/>
      <w:marRight w:val="0"/>
      <w:marTop w:val="0"/>
      <w:marBottom w:val="0"/>
      <w:divBdr>
        <w:top w:val="none" w:sz="0" w:space="0" w:color="auto"/>
        <w:left w:val="none" w:sz="0" w:space="0" w:color="auto"/>
        <w:bottom w:val="none" w:sz="0" w:space="0" w:color="auto"/>
        <w:right w:val="none" w:sz="0" w:space="0" w:color="auto"/>
      </w:divBdr>
    </w:div>
    <w:div w:id="1438212794">
      <w:bodyDiv w:val="1"/>
      <w:marLeft w:val="0"/>
      <w:marRight w:val="0"/>
      <w:marTop w:val="0"/>
      <w:marBottom w:val="0"/>
      <w:divBdr>
        <w:top w:val="none" w:sz="0" w:space="0" w:color="auto"/>
        <w:left w:val="none" w:sz="0" w:space="0" w:color="auto"/>
        <w:bottom w:val="none" w:sz="0" w:space="0" w:color="auto"/>
        <w:right w:val="none" w:sz="0" w:space="0" w:color="auto"/>
      </w:divBdr>
    </w:div>
    <w:div w:id="1636373104">
      <w:bodyDiv w:val="1"/>
      <w:marLeft w:val="0"/>
      <w:marRight w:val="0"/>
      <w:marTop w:val="0"/>
      <w:marBottom w:val="0"/>
      <w:divBdr>
        <w:top w:val="none" w:sz="0" w:space="0" w:color="auto"/>
        <w:left w:val="none" w:sz="0" w:space="0" w:color="auto"/>
        <w:bottom w:val="none" w:sz="0" w:space="0" w:color="auto"/>
        <w:right w:val="none" w:sz="0" w:space="0" w:color="auto"/>
      </w:divBdr>
    </w:div>
    <w:div w:id="175100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1548</Words>
  <Characters>8830</Characters>
  <Application>Microsoft Office Word</Application>
  <DocSecurity>0</DocSecurity>
  <Lines>73</Lines>
  <Paragraphs>20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PPP</dc:creator>
  <cp:lastModifiedBy>adriana istrate</cp:lastModifiedBy>
  <cp:revision>2</cp:revision>
  <dcterms:created xsi:type="dcterms:W3CDTF">2020-03-04T19:42:00Z</dcterms:created>
  <dcterms:modified xsi:type="dcterms:W3CDTF">2020-03-04T19:42:00Z</dcterms:modified>
</cp:coreProperties>
</file>