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674631E" w14:textId="77777777" w:rsidR="00750BBB" w:rsidRDefault="00750BBB" w:rsidP="0035322B">
      <w:pPr>
        <w:ind w:firstLine="1134"/>
        <w:jc w:val="center"/>
        <w:rPr>
          <w:rFonts w:ascii="Times New Roman" w:hAnsi="Times New Roman" w:cs="Times New Roman"/>
          <w:b/>
          <w:bCs/>
          <w:sz w:val="32"/>
          <w:szCs w:val="32"/>
        </w:rPr>
      </w:pPr>
    </w:p>
    <w:p w14:paraId="6B5B813B" w14:textId="77777777" w:rsidR="00750BBB" w:rsidRDefault="00750BBB" w:rsidP="0035322B">
      <w:pPr>
        <w:ind w:firstLine="1134"/>
        <w:jc w:val="center"/>
        <w:rPr>
          <w:rFonts w:ascii="Times New Roman" w:hAnsi="Times New Roman" w:cs="Times New Roman"/>
          <w:b/>
          <w:bCs/>
          <w:sz w:val="32"/>
          <w:szCs w:val="32"/>
        </w:rPr>
      </w:pPr>
    </w:p>
    <w:p w14:paraId="492919CC" w14:textId="0A0B3777" w:rsidR="0035322B" w:rsidRPr="00750BBB" w:rsidRDefault="00750BBB" w:rsidP="0035322B">
      <w:pPr>
        <w:ind w:firstLine="1134"/>
        <w:jc w:val="center"/>
        <w:rPr>
          <w:rFonts w:ascii="Times New Roman" w:hAnsi="Times New Roman" w:cs="Times New Roman"/>
          <w:b/>
          <w:bCs/>
          <w:sz w:val="32"/>
          <w:szCs w:val="32"/>
        </w:rPr>
      </w:pPr>
      <w:bookmarkStart w:id="0" w:name="_GoBack"/>
      <w:bookmarkEnd w:id="0"/>
      <w:r w:rsidRPr="00750BBB">
        <w:rPr>
          <w:rFonts w:ascii="Times New Roman" w:hAnsi="Times New Roman" w:cs="Times New Roman"/>
          <w:b/>
          <w:bCs/>
          <w:sz w:val="32"/>
          <w:szCs w:val="32"/>
        </w:rPr>
        <w:t>EDUCABILITATEA ȘI PUTEREA EDUCAȚIEI</w:t>
      </w:r>
    </w:p>
    <w:p w14:paraId="1C05CB7C" w14:textId="23F46240" w:rsidR="0035322B" w:rsidRPr="0035322B" w:rsidRDefault="00750BBB" w:rsidP="0035322B">
      <w:pPr>
        <w:ind w:firstLine="1134"/>
        <w:jc w:val="right"/>
        <w:rPr>
          <w:rFonts w:ascii="Times New Roman" w:hAnsi="Times New Roman" w:cs="Times New Roman"/>
          <w:i/>
          <w:iCs/>
          <w:sz w:val="24"/>
          <w:szCs w:val="24"/>
        </w:rPr>
      </w:pPr>
      <w:r>
        <w:rPr>
          <w:rFonts w:ascii="Times New Roman" w:hAnsi="Times New Roman" w:cs="Times New Roman"/>
          <w:i/>
          <w:iCs/>
          <w:sz w:val="24"/>
          <w:szCs w:val="24"/>
        </w:rPr>
        <w:t>Educ</w:t>
      </w:r>
      <w:r w:rsidR="0035322B" w:rsidRPr="0035322B">
        <w:rPr>
          <w:rFonts w:ascii="Times New Roman" w:hAnsi="Times New Roman" w:cs="Times New Roman"/>
          <w:i/>
          <w:iCs/>
          <w:sz w:val="24"/>
          <w:szCs w:val="24"/>
        </w:rPr>
        <w:t xml:space="preserve">. </w:t>
      </w:r>
      <w:r>
        <w:rPr>
          <w:rFonts w:ascii="Times New Roman" w:hAnsi="Times New Roman" w:cs="Times New Roman"/>
          <w:i/>
          <w:iCs/>
          <w:sz w:val="24"/>
          <w:szCs w:val="24"/>
        </w:rPr>
        <w:t>Horvat Ana</w:t>
      </w:r>
    </w:p>
    <w:p w14:paraId="5A17587C" w14:textId="77777777" w:rsidR="0035322B" w:rsidRDefault="0035322B" w:rsidP="0035322B">
      <w:pPr>
        <w:ind w:firstLine="1134"/>
        <w:jc w:val="both"/>
        <w:rPr>
          <w:rFonts w:ascii="Times New Roman" w:hAnsi="Times New Roman" w:cs="Times New Roman"/>
          <w:sz w:val="24"/>
          <w:szCs w:val="24"/>
        </w:rPr>
      </w:pPr>
    </w:p>
    <w:p w14:paraId="7C951C2D" w14:textId="77777777" w:rsidR="00750BBB" w:rsidRPr="00750BBB" w:rsidRDefault="00750BBB" w:rsidP="00750BBB">
      <w:pPr>
        <w:spacing w:after="0" w:line="240" w:lineRule="auto"/>
        <w:jc w:val="both"/>
        <w:rPr>
          <w:rFonts w:ascii="Times New Roman" w:eastAsia="Times New Roman" w:hAnsi="Times New Roman" w:cs="Times New Roman"/>
          <w:b/>
          <w:sz w:val="32"/>
          <w:szCs w:val="32"/>
          <w:u w:val="single"/>
          <w:lang w:val="ro-RO"/>
        </w:rPr>
      </w:pPr>
    </w:p>
    <w:p w14:paraId="7F66DB30" w14:textId="77777777" w:rsidR="00750BBB" w:rsidRPr="00750BBB" w:rsidRDefault="00750BBB" w:rsidP="00750BBB">
      <w:pPr>
        <w:spacing w:after="0" w:line="240" w:lineRule="auto"/>
        <w:ind w:firstLine="708"/>
        <w:jc w:val="both"/>
        <w:rPr>
          <w:rFonts w:ascii="Times New Roman" w:eastAsia="Times New Roman" w:hAnsi="Times New Roman" w:cs="Times New Roman"/>
          <w:i/>
          <w:sz w:val="32"/>
          <w:szCs w:val="32"/>
          <w:lang w:val="ro-RO"/>
        </w:rPr>
      </w:pPr>
      <w:r w:rsidRPr="00750BBB">
        <w:rPr>
          <w:rFonts w:ascii="Times New Roman" w:eastAsia="Times New Roman" w:hAnsi="Times New Roman" w:cs="Times New Roman"/>
          <w:i/>
          <w:sz w:val="32"/>
          <w:szCs w:val="32"/>
          <w:lang w:val="ro-RO"/>
        </w:rPr>
        <w:t>Educabilitatea este particularitatea specifică omului de a se modela şi dezvolta sub influenţa factorilor de mediu şi educaţie, bazându-se pe potenţialul ereditar.</w:t>
      </w:r>
    </w:p>
    <w:p w14:paraId="27F3AF8F" w14:textId="77777777" w:rsidR="00750BBB" w:rsidRPr="00750BBB" w:rsidRDefault="00750BBB" w:rsidP="00750BBB">
      <w:pPr>
        <w:spacing w:after="0" w:line="240" w:lineRule="auto"/>
        <w:ind w:firstLine="708"/>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 xml:space="preserve">Educabilitatea se manifestă în relaţia educator – educat. </w:t>
      </w:r>
      <w:r w:rsidRPr="00750BBB">
        <w:rPr>
          <w:rFonts w:ascii="Times New Roman" w:eastAsia="Times New Roman" w:hAnsi="Times New Roman" w:cs="Times New Roman"/>
          <w:i/>
          <w:sz w:val="32"/>
          <w:szCs w:val="32"/>
          <w:lang w:val="ro-RO"/>
        </w:rPr>
        <w:t xml:space="preserve">Educatorul </w:t>
      </w:r>
      <w:r w:rsidRPr="00750BBB">
        <w:rPr>
          <w:rFonts w:ascii="Times New Roman" w:eastAsia="Times New Roman" w:hAnsi="Times New Roman" w:cs="Times New Roman"/>
          <w:sz w:val="32"/>
          <w:szCs w:val="32"/>
          <w:lang w:val="ro-RO"/>
        </w:rPr>
        <w:t xml:space="preserve">vine în această relaţie cu competenţe general umane (echilibru biopsihic,  însuşiri de personalitate, experienţă de cunoaştere şi de viaţă,  disponibilitate de a relaţiona) şi cu competenţe profesionale (cultură generală, cultură de specialitate) şi didactice (tact pedagogic, stil de predare). </w:t>
      </w:r>
      <w:r w:rsidRPr="00750BBB">
        <w:rPr>
          <w:rFonts w:ascii="Times New Roman" w:eastAsia="Times New Roman" w:hAnsi="Times New Roman" w:cs="Times New Roman"/>
          <w:i/>
          <w:sz w:val="32"/>
          <w:szCs w:val="32"/>
          <w:lang w:val="ro-RO"/>
        </w:rPr>
        <w:t>Educatul</w:t>
      </w:r>
      <w:r w:rsidRPr="00750BBB">
        <w:rPr>
          <w:rFonts w:ascii="Times New Roman" w:eastAsia="Times New Roman" w:hAnsi="Times New Roman" w:cs="Times New Roman"/>
          <w:sz w:val="32"/>
          <w:szCs w:val="32"/>
          <w:lang w:val="ro-RO"/>
        </w:rPr>
        <w:t xml:space="preserve"> vine în relaţie cu competenţe general umane (echilibru biopsihic, capacităţi de cunoaştere, de raportare afectivă şi volitivă), cu o experienţă de cunoaştere în curs de constituire, cu o receptivitate nativă şi dobândită pentru cunoaştere, cu motivaţii interne şi externe, cu disponibilitate de a comunica şi de a răspunde solicitărilor, cu capacitatea de a recepţiona, prelucra şi integra experienţa transmisă, cu particularităţi de sănătate fizică şi mentală.</w:t>
      </w:r>
    </w:p>
    <w:p w14:paraId="7A82FD88" w14:textId="7169EA58" w:rsidR="00750BBB" w:rsidRPr="00750BBB" w:rsidRDefault="00750BBB" w:rsidP="00750BBB">
      <w:pPr>
        <w:spacing w:after="0" w:line="240" w:lineRule="auto"/>
        <w:ind w:firstLine="708"/>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Educabilitatea este un ansamblu de şanse de a fi eficient ca educator şi de a profita de relaţia educaţională cu cel educat, în sensul stimulării dezvoltării personalităţii acestuia. Şansele de a fi eficient depind de o serie de condiţii: acceptarea reciprocă, compatibilitatea psihologică, tipul de autoritate pe care o impune educatorul, capacităţile individuale ale educatului. Prin urmare, reuşitele educaţionale depind atât de capacităţile biologice şi de personalitate ale celor doi factori umani implicaţi, cât şi de existenţa unui mediu stimulativ.</w:t>
      </w:r>
    </w:p>
    <w:p w14:paraId="0E454EF5" w14:textId="77777777" w:rsidR="00750BBB" w:rsidRPr="00750BBB" w:rsidRDefault="00750BBB" w:rsidP="00750BBB">
      <w:pPr>
        <w:spacing w:after="0" w:line="240" w:lineRule="auto"/>
        <w:ind w:firstLine="708"/>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 xml:space="preserve">Încrederea în şanse şi în rezultatele educaţiei se exprimă prin optimismul sau scepticismul pedagogic, acestea manifestându-se la nivel de concepţie, de atitudine, de stare de spirit. De-a lungul timpului, diverşi teoreticieni şi practicieni ai educaţiei s-au situat pe poziţiile optimismului sau ale scepticismului pedagogic, în funcţie de modul de interpretare a unor descoperiri ale geneticii, în funcţie de speculaţiile filosofice ale </w:t>
      </w:r>
      <w:r w:rsidRPr="00750BBB">
        <w:rPr>
          <w:rFonts w:ascii="Times New Roman" w:eastAsia="Times New Roman" w:hAnsi="Times New Roman" w:cs="Times New Roman"/>
          <w:sz w:val="32"/>
          <w:szCs w:val="32"/>
          <w:lang w:val="ro-RO"/>
        </w:rPr>
        <w:lastRenderedPageBreak/>
        <w:t>momentului, de contextul social-istoric în care au trăit şi în funcţie de nevoia de a stimula dezvoltarea sistemului educativ în atmosfera spirituală a epocii respective.</w:t>
      </w:r>
    </w:p>
    <w:p w14:paraId="13F2CCEC" w14:textId="77777777" w:rsidR="00750BBB" w:rsidRPr="00750BBB" w:rsidRDefault="00750BBB" w:rsidP="00750BBB">
      <w:pPr>
        <w:tabs>
          <w:tab w:val="num" w:pos="1080"/>
        </w:tabs>
        <w:spacing w:after="0" w:line="240" w:lineRule="auto"/>
        <w:ind w:firstLine="720"/>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 xml:space="preserve">Reprezentanţii burgheziei în ascensiune, luptând împotriva dominaţiei nobilimii şi a clerului, au promovat şi susţinut ideea că soarta omului nu e predestinată. Adepţi ai </w:t>
      </w:r>
      <w:r w:rsidRPr="00750BBB">
        <w:rPr>
          <w:rFonts w:ascii="Times New Roman" w:eastAsia="Times New Roman" w:hAnsi="Times New Roman" w:cs="Times New Roman"/>
          <w:b/>
          <w:sz w:val="32"/>
          <w:szCs w:val="32"/>
          <w:lang w:val="ro-RO"/>
        </w:rPr>
        <w:t>optimismului pedagogic</w:t>
      </w:r>
      <w:r w:rsidRPr="00750BBB">
        <w:rPr>
          <w:rFonts w:ascii="Times New Roman" w:eastAsia="Times New Roman" w:hAnsi="Times New Roman" w:cs="Times New Roman"/>
          <w:sz w:val="32"/>
          <w:szCs w:val="32"/>
          <w:lang w:val="ro-RO"/>
        </w:rPr>
        <w:t xml:space="preserve">, deci încrezători în puterea nelimitată e educaţiei, au fost: </w:t>
      </w:r>
    </w:p>
    <w:p w14:paraId="64AC2AE3"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Umaniştii Renaşterii: Vittorino da Feltre, Francois Rabelais, Michel de Montaigne, Erasmus din Rotterdam  - idealul educaţiei era “homo universale”;</w:t>
      </w:r>
    </w:p>
    <w:p w14:paraId="3BF6264C"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Socialiştii utopici: Thomas Morus, Tommaso Campanella – educaţie egală pentru toţi, în conformitate cu natura, instruire sistematică în toate domeniile literelor, ştiinţelor, artelor;</w:t>
      </w:r>
    </w:p>
    <w:p w14:paraId="6D2817A9"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Jan Amos Comenius – „fiecare om se naşte capabil să dobândească cunoaşterea lucrurilor”; necesitatea educaţiei pentru toţi oamenii, educaţia este calea pentru bunăstarea umanităţii, „omul devine Om numai prin educaţie” (erudiţie, moralitate, pietate);</w:t>
      </w:r>
    </w:p>
    <w:p w14:paraId="3620975F"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 xml:space="preserve">John Locke – la naştere intelectul omului este </w:t>
      </w:r>
      <w:r w:rsidRPr="00750BBB">
        <w:rPr>
          <w:rFonts w:ascii="Times New Roman" w:eastAsia="Times New Roman" w:hAnsi="Times New Roman" w:cs="Times New Roman"/>
          <w:i/>
          <w:sz w:val="32"/>
          <w:szCs w:val="32"/>
          <w:lang w:val="ro-RO"/>
        </w:rPr>
        <w:t>tabula rasa</w:t>
      </w:r>
      <w:r w:rsidRPr="00750BBB">
        <w:rPr>
          <w:rFonts w:ascii="Times New Roman" w:eastAsia="Times New Roman" w:hAnsi="Times New Roman" w:cs="Times New Roman"/>
          <w:sz w:val="32"/>
          <w:szCs w:val="32"/>
          <w:lang w:val="ro-RO"/>
        </w:rPr>
        <w:t>;</w:t>
      </w:r>
      <w:r w:rsidRPr="00750BBB">
        <w:rPr>
          <w:rFonts w:ascii="Times New Roman" w:eastAsia="Times New Roman" w:hAnsi="Times New Roman" w:cs="Times New Roman"/>
          <w:i/>
          <w:sz w:val="32"/>
          <w:szCs w:val="32"/>
          <w:lang w:val="ro-RO"/>
        </w:rPr>
        <w:t xml:space="preserve"> „</w:t>
      </w:r>
      <w:r w:rsidRPr="00750BBB">
        <w:rPr>
          <w:rFonts w:ascii="Times New Roman" w:eastAsia="Times New Roman" w:hAnsi="Times New Roman" w:cs="Times New Roman"/>
          <w:sz w:val="32"/>
          <w:szCs w:val="32"/>
          <w:lang w:val="ro-RO"/>
        </w:rPr>
        <w:t>educaţia este cea care determină deosebirile dintre oameni”, „nouă zecimi din oamenii pe care îi cunoaştem sunt buni sau răi, utili sau inutili, datorită educaţiei pe care au primit-o”;</w:t>
      </w:r>
    </w:p>
    <w:p w14:paraId="1B5BDD6C"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 xml:space="preserve">Helvetius – oamenii sunt egali de la natură, deosebirile dintre ei sunt date de faptul că unii au primit o educaţie bună iar alţii una mai puţin bună sau chiar au fost privaţi de educaţie; </w:t>
      </w:r>
    </w:p>
    <w:p w14:paraId="2E4A3DC5"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Jean Jacques Rousseau – de la natură omul este bun, dar societatea îl viciază, de aceea copilul trebuie scos din societate, din mediul urban şi educat la ţară, în conformitate cu natura ;</w:t>
      </w:r>
    </w:p>
    <w:p w14:paraId="7130779E" w14:textId="77777777" w:rsidR="00750BBB" w:rsidRPr="00750BBB" w:rsidRDefault="00750BBB" w:rsidP="00750BBB">
      <w:pPr>
        <w:numPr>
          <w:ilvl w:val="0"/>
          <w:numId w:val="2"/>
        </w:numPr>
        <w:spacing w:after="0" w:line="240" w:lineRule="auto"/>
        <w:jc w:val="both"/>
        <w:rPr>
          <w:rFonts w:ascii="Times New Roman" w:eastAsia="Times New Roman" w:hAnsi="Times New Roman" w:cs="Times New Roman"/>
          <w:sz w:val="32"/>
          <w:szCs w:val="32"/>
          <w:lang w:val="ro-RO"/>
        </w:rPr>
      </w:pPr>
      <w:r w:rsidRPr="00750BBB">
        <w:rPr>
          <w:rFonts w:ascii="Times New Roman" w:eastAsia="Times New Roman" w:hAnsi="Times New Roman" w:cs="Times New Roman"/>
          <w:sz w:val="32"/>
          <w:szCs w:val="32"/>
          <w:lang w:val="ro-RO"/>
        </w:rPr>
        <w:t>Johann Heinrich Pestalozzi – educaţia îl pregăteşte pe om pentru o viaţă plină de demnitate, de dragoste pentru oameni, dragoste pentru mamă în primul rând.</w:t>
      </w:r>
    </w:p>
    <w:p w14:paraId="6B69EC6B" w14:textId="77777777" w:rsidR="00750BBB" w:rsidRPr="00750BBB" w:rsidRDefault="00750BBB" w:rsidP="00750BBB">
      <w:pPr>
        <w:spacing w:after="0" w:line="240" w:lineRule="auto"/>
        <w:jc w:val="both"/>
        <w:rPr>
          <w:rFonts w:ascii="Times New Roman" w:eastAsia="Times New Roman" w:hAnsi="Times New Roman" w:cs="Times New Roman"/>
          <w:sz w:val="24"/>
          <w:szCs w:val="20"/>
          <w:lang w:val="ro-RO"/>
        </w:rPr>
      </w:pPr>
    </w:p>
    <w:p w14:paraId="0A49F86A" w14:textId="419A02C6" w:rsidR="0035322B" w:rsidRPr="0035322B" w:rsidRDefault="0035322B" w:rsidP="00750BBB">
      <w:pPr>
        <w:ind w:firstLine="1134"/>
        <w:jc w:val="both"/>
        <w:rPr>
          <w:rFonts w:ascii="Times New Roman" w:hAnsi="Times New Roman" w:cs="Times New Roman"/>
          <w:sz w:val="24"/>
          <w:szCs w:val="24"/>
        </w:rPr>
      </w:pPr>
    </w:p>
    <w:sectPr w:rsidR="0035322B" w:rsidRPr="0035322B" w:rsidSect="0035322B">
      <w:pgSz w:w="12240" w:h="15840"/>
      <w:pgMar w:top="567"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4B761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7B9F6581"/>
    <w:multiLevelType w:val="singleLevel"/>
    <w:tmpl w:val="0C09000F"/>
    <w:lvl w:ilvl="0">
      <w:start w:val="1"/>
      <w:numFmt w:val="decimal"/>
      <w:lvlText w:val="%1."/>
      <w:lvlJc w:val="left"/>
      <w:pPr>
        <w:tabs>
          <w:tab w:val="num" w:pos="360"/>
        </w:tabs>
        <w:ind w:left="36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22B"/>
    <w:rsid w:val="0035322B"/>
    <w:rsid w:val="00750B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3658D"/>
  <w15:chartTrackingRefBased/>
  <w15:docId w15:val="{0B62DBFA-C9E4-4CEE-8635-3FCD862662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574</Words>
  <Characters>3275</Characters>
  <Application>Microsoft Office Word</Application>
  <DocSecurity>0</DocSecurity>
  <Lines>27</Lines>
  <Paragraphs>7</Paragraphs>
  <ScaleCrop>false</ScaleCrop>
  <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istrate</dc:creator>
  <cp:keywords/>
  <dc:description/>
  <cp:lastModifiedBy>adriana istrate</cp:lastModifiedBy>
  <cp:revision>2</cp:revision>
  <dcterms:created xsi:type="dcterms:W3CDTF">2020-03-12T18:25:00Z</dcterms:created>
  <dcterms:modified xsi:type="dcterms:W3CDTF">2020-03-12T18:25:00Z</dcterms:modified>
</cp:coreProperties>
</file>