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B58B69" w14:textId="002D30A8" w:rsidR="006C7F44" w:rsidRDefault="006C7F44" w:rsidP="006C7F44">
      <w:pPr>
        <w:spacing w:line="360" w:lineRule="auto"/>
        <w:jc w:val="center"/>
        <w:rPr>
          <w:rFonts w:ascii="Times New Roman" w:hAnsi="Times New Roman" w:cs="Times New Roman"/>
          <w:b/>
          <w:bCs/>
          <w:sz w:val="24"/>
          <w:szCs w:val="24"/>
        </w:rPr>
      </w:pPr>
      <w:bookmarkStart w:id="0" w:name="_GoBack"/>
      <w:bookmarkEnd w:id="0"/>
      <w:r w:rsidRPr="006C7F44">
        <w:rPr>
          <w:rFonts w:ascii="Times New Roman" w:hAnsi="Times New Roman" w:cs="Times New Roman"/>
          <w:b/>
          <w:bCs/>
          <w:sz w:val="24"/>
          <w:szCs w:val="24"/>
        </w:rPr>
        <w:t>CULTURI DIFERITE DE ÎNVĂȚARE ÎN EUROPA</w:t>
      </w:r>
    </w:p>
    <w:p w14:paraId="60B05DC5" w14:textId="3F4DA21B" w:rsidR="00930A66" w:rsidRDefault="00930A66" w:rsidP="00930A66">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Școala Gimnazială „Mihai Eminescu” Lespezi</w:t>
      </w:r>
    </w:p>
    <w:p w14:paraId="2050B2C3" w14:textId="175FB7B7" w:rsidR="00930A66" w:rsidRPr="006C7F44" w:rsidRDefault="00930A66" w:rsidP="00930A66">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Prof. înv. preșc. Balint Beatrice Elena</w:t>
      </w:r>
    </w:p>
    <w:p w14:paraId="1F4E060A" w14:textId="0F9D8670" w:rsidR="000E10F1" w:rsidRDefault="006C7F44" w:rsidP="006C7F44">
      <w:pPr>
        <w:spacing w:line="360" w:lineRule="auto"/>
        <w:ind w:firstLine="567"/>
        <w:jc w:val="both"/>
        <w:rPr>
          <w:rFonts w:ascii="Times New Roman" w:hAnsi="Times New Roman" w:cs="Times New Roman"/>
          <w:sz w:val="24"/>
          <w:szCs w:val="24"/>
        </w:rPr>
      </w:pPr>
      <w:r w:rsidRPr="006C7F44">
        <w:rPr>
          <w:rFonts w:ascii="Times New Roman" w:hAnsi="Times New Roman" w:cs="Times New Roman"/>
          <w:sz w:val="24"/>
          <w:szCs w:val="24"/>
        </w:rPr>
        <w:t>Fiecare țară are propria sa cultură, identitate, istorie și practici privind educația și formarea profesională care se reflectă în arhitectura specifică a sistemelor naționale de EFP. Astfel cultura de învățare diferă semnificativ de la o țară la alta. Diferențele privind cultura de învățare, influențează modul în care sunt formulate și implementate politicile privind validarea învățării informale. Björnavold a caracterizat aceste culturi de învățare prin intermediul unui model de grup (cluster) prezentat în</w:t>
      </w:r>
      <w:r>
        <w:rPr>
          <w:rFonts w:ascii="Times New Roman" w:hAnsi="Times New Roman" w:cs="Times New Roman"/>
          <w:sz w:val="24"/>
          <w:szCs w:val="24"/>
        </w:rPr>
        <w:t xml:space="preserve"> </w:t>
      </w:r>
      <w:r w:rsidRPr="006C7F44">
        <w:rPr>
          <w:rFonts w:ascii="Times New Roman" w:hAnsi="Times New Roman" w:cs="Times New Roman"/>
          <w:sz w:val="24"/>
          <w:szCs w:val="24"/>
        </w:rPr>
        <w:t xml:space="preserve">lucrarea </w:t>
      </w:r>
      <w:r>
        <w:rPr>
          <w:rFonts w:ascii="Times New Roman" w:hAnsi="Times New Roman" w:cs="Times New Roman"/>
          <w:sz w:val="24"/>
          <w:szCs w:val="24"/>
        </w:rPr>
        <w:t>„</w:t>
      </w:r>
      <w:r w:rsidRPr="006C7F44">
        <w:rPr>
          <w:rFonts w:ascii="Times New Roman" w:hAnsi="Times New Roman" w:cs="Times New Roman"/>
          <w:sz w:val="24"/>
          <w:szCs w:val="24"/>
        </w:rPr>
        <w:t>Making Learning Visible</w:t>
      </w:r>
      <w:r>
        <w:rPr>
          <w:rFonts w:ascii="Times New Roman" w:hAnsi="Times New Roman" w:cs="Times New Roman"/>
          <w:sz w:val="24"/>
          <w:szCs w:val="24"/>
        </w:rPr>
        <w:t xml:space="preserve">”. </w:t>
      </w:r>
      <w:r w:rsidRPr="006C7F44">
        <w:rPr>
          <w:rFonts w:ascii="Times New Roman" w:hAnsi="Times New Roman" w:cs="Times New Roman"/>
          <w:sz w:val="24"/>
          <w:szCs w:val="24"/>
        </w:rPr>
        <w:t>Învățarea reciprocă este favorizată de proximitatea geografică și de asemănările instituționale în țările din fiecare grup. Modelul de grup (cluster) se concentrează pe următoarele culturi de învățare:</w:t>
      </w:r>
    </w:p>
    <w:tbl>
      <w:tblPr>
        <w:tblStyle w:val="TableGrid"/>
        <w:tblW w:w="0" w:type="auto"/>
        <w:tblLook w:val="04A0" w:firstRow="1" w:lastRow="0" w:firstColumn="1" w:lastColumn="0" w:noHBand="0" w:noVBand="1"/>
      </w:tblPr>
      <w:tblGrid>
        <w:gridCol w:w="2263"/>
        <w:gridCol w:w="3544"/>
        <w:gridCol w:w="3255"/>
      </w:tblGrid>
      <w:tr w:rsidR="006C7F44" w14:paraId="33AA7245" w14:textId="77777777" w:rsidTr="006C7F44">
        <w:tc>
          <w:tcPr>
            <w:tcW w:w="2263" w:type="dxa"/>
          </w:tcPr>
          <w:p w14:paraId="1FAFDF15" w14:textId="3AB05EBE" w:rsidR="006C7F44" w:rsidRPr="006C7F44" w:rsidRDefault="006C7F44" w:rsidP="006C7F44">
            <w:pPr>
              <w:spacing w:line="360" w:lineRule="auto"/>
              <w:jc w:val="center"/>
              <w:rPr>
                <w:rFonts w:ascii="Times New Roman" w:hAnsi="Times New Roman" w:cs="Times New Roman"/>
                <w:b/>
                <w:bCs/>
                <w:sz w:val="24"/>
                <w:szCs w:val="24"/>
              </w:rPr>
            </w:pPr>
            <w:r w:rsidRPr="006C7F44">
              <w:rPr>
                <w:rFonts w:ascii="Times New Roman" w:hAnsi="Times New Roman" w:cs="Times New Roman"/>
                <w:b/>
                <w:bCs/>
                <w:sz w:val="24"/>
                <w:szCs w:val="24"/>
              </w:rPr>
              <w:t>Sistem</w:t>
            </w:r>
          </w:p>
        </w:tc>
        <w:tc>
          <w:tcPr>
            <w:tcW w:w="3544" w:type="dxa"/>
          </w:tcPr>
          <w:p w14:paraId="390DE8FE" w14:textId="452F4DE6" w:rsidR="006C7F44" w:rsidRPr="006C7F44" w:rsidRDefault="006C7F44" w:rsidP="006C7F44">
            <w:pPr>
              <w:spacing w:line="360" w:lineRule="auto"/>
              <w:jc w:val="center"/>
              <w:rPr>
                <w:rFonts w:ascii="Times New Roman" w:hAnsi="Times New Roman" w:cs="Times New Roman"/>
                <w:b/>
                <w:bCs/>
                <w:sz w:val="24"/>
                <w:szCs w:val="24"/>
              </w:rPr>
            </w:pPr>
            <w:r w:rsidRPr="006C7F44">
              <w:rPr>
                <w:rFonts w:ascii="Times New Roman" w:hAnsi="Times New Roman" w:cs="Times New Roman"/>
                <w:b/>
                <w:bCs/>
                <w:sz w:val="24"/>
                <w:szCs w:val="24"/>
              </w:rPr>
              <w:t>Caracteristici</w:t>
            </w:r>
          </w:p>
        </w:tc>
        <w:tc>
          <w:tcPr>
            <w:tcW w:w="3255" w:type="dxa"/>
          </w:tcPr>
          <w:p w14:paraId="65B0333C" w14:textId="2E6BBA3D" w:rsidR="006C7F44" w:rsidRPr="006C7F44" w:rsidRDefault="006C7F44" w:rsidP="006C7F44">
            <w:pPr>
              <w:spacing w:line="360" w:lineRule="auto"/>
              <w:jc w:val="center"/>
              <w:rPr>
                <w:rFonts w:ascii="Times New Roman" w:hAnsi="Times New Roman" w:cs="Times New Roman"/>
                <w:b/>
                <w:bCs/>
                <w:sz w:val="24"/>
                <w:szCs w:val="24"/>
              </w:rPr>
            </w:pPr>
            <w:r w:rsidRPr="006C7F44">
              <w:rPr>
                <w:rFonts w:ascii="Times New Roman" w:hAnsi="Times New Roman" w:cs="Times New Roman"/>
                <w:b/>
                <w:bCs/>
                <w:sz w:val="24"/>
                <w:szCs w:val="24"/>
              </w:rPr>
              <w:t>Țări</w:t>
            </w:r>
          </w:p>
        </w:tc>
      </w:tr>
      <w:tr w:rsidR="006C7F44" w14:paraId="10FB9174" w14:textId="77777777" w:rsidTr="006C7F44">
        <w:trPr>
          <w:trHeight w:val="1196"/>
        </w:trPr>
        <w:tc>
          <w:tcPr>
            <w:tcW w:w="2263" w:type="dxa"/>
          </w:tcPr>
          <w:p w14:paraId="2CEE8301" w14:textId="1BC9B9D0"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Sistem dual</w:t>
            </w:r>
          </w:p>
        </w:tc>
        <w:tc>
          <w:tcPr>
            <w:tcW w:w="3544" w:type="dxa"/>
          </w:tcPr>
          <w:p w14:paraId="22CB2DC5" w14:textId="0E243136"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-învățarea la locul de muncă;</w:t>
            </w:r>
          </w:p>
          <w:p w14:paraId="22CFD258" w14:textId="77777777"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-parteneriate sociale;</w:t>
            </w:r>
          </w:p>
          <w:p w14:paraId="55249135" w14:textId="6954F64D"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-nivele de EFP;</w:t>
            </w:r>
          </w:p>
        </w:tc>
        <w:tc>
          <w:tcPr>
            <w:tcW w:w="3255" w:type="dxa"/>
          </w:tcPr>
          <w:p w14:paraId="76E381E8" w14:textId="679F5F44"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Germania, Austria, Elveția</w:t>
            </w:r>
          </w:p>
        </w:tc>
      </w:tr>
      <w:tr w:rsidR="006C7F44" w14:paraId="4214502C" w14:textId="77777777" w:rsidTr="006C7F44">
        <w:tc>
          <w:tcPr>
            <w:tcW w:w="2263" w:type="dxa"/>
          </w:tcPr>
          <w:p w14:paraId="1E07BF79" w14:textId="66B2E3E1"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Abordare Nord- Europeană</w:t>
            </w:r>
          </w:p>
        </w:tc>
        <w:tc>
          <w:tcPr>
            <w:tcW w:w="3544" w:type="dxa"/>
          </w:tcPr>
          <w:p w14:paraId="4D5F45A0" w14:textId="77777777" w:rsidR="006C7F44" w:rsidRPr="006C7F44" w:rsidRDefault="006C7F44" w:rsidP="006C7F44">
            <w:pPr>
              <w:spacing w:line="360" w:lineRule="auto"/>
              <w:rPr>
                <w:rFonts w:ascii="Times New Roman" w:hAnsi="Times New Roman" w:cs="Times New Roman"/>
                <w:sz w:val="24"/>
                <w:szCs w:val="24"/>
              </w:rPr>
            </w:pPr>
            <w:r w:rsidRPr="006C7F44">
              <w:rPr>
                <w:rFonts w:ascii="Times New Roman" w:hAnsi="Times New Roman" w:cs="Times New Roman"/>
                <w:sz w:val="24"/>
                <w:szCs w:val="24"/>
              </w:rPr>
              <w:t>-regională;</w:t>
            </w:r>
          </w:p>
          <w:p w14:paraId="2A493E81" w14:textId="5AFEF9DF" w:rsidR="006C7F44" w:rsidRDefault="006C7F44" w:rsidP="006C7F44">
            <w:pPr>
              <w:spacing w:line="360" w:lineRule="auto"/>
              <w:rPr>
                <w:rFonts w:ascii="Times New Roman" w:hAnsi="Times New Roman" w:cs="Times New Roman"/>
                <w:sz w:val="24"/>
                <w:szCs w:val="24"/>
              </w:rPr>
            </w:pPr>
            <w:r w:rsidRPr="006C7F44">
              <w:rPr>
                <w:rFonts w:ascii="Times New Roman" w:hAnsi="Times New Roman" w:cs="Times New Roman"/>
                <w:sz w:val="24"/>
                <w:szCs w:val="24"/>
              </w:rPr>
              <w:t>-implicită;</w:t>
            </w:r>
          </w:p>
        </w:tc>
        <w:tc>
          <w:tcPr>
            <w:tcW w:w="3255" w:type="dxa"/>
          </w:tcPr>
          <w:p w14:paraId="56EFA185" w14:textId="369103CE"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Grecia, Italia, Spania, Portugalia</w:t>
            </w:r>
          </w:p>
        </w:tc>
      </w:tr>
      <w:tr w:rsidR="006C7F44" w14:paraId="020F879A" w14:textId="77777777" w:rsidTr="006C7F44">
        <w:tc>
          <w:tcPr>
            <w:tcW w:w="2263" w:type="dxa"/>
          </w:tcPr>
          <w:p w14:paraId="20546E32" w14:textId="2E6E39A6"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Modelul Nord- European</w:t>
            </w:r>
          </w:p>
        </w:tc>
        <w:tc>
          <w:tcPr>
            <w:tcW w:w="3544" w:type="dxa"/>
          </w:tcPr>
          <w:p w14:paraId="26DAFF66" w14:textId="77777777"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-regional;</w:t>
            </w:r>
          </w:p>
          <w:p w14:paraId="6478FF70" w14:textId="77777777"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-gestionată de guvern;</w:t>
            </w:r>
          </w:p>
          <w:p w14:paraId="62142F35" w14:textId="2517AED8"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-nivele de EFP</w:t>
            </w:r>
          </w:p>
        </w:tc>
        <w:tc>
          <w:tcPr>
            <w:tcW w:w="3255" w:type="dxa"/>
          </w:tcPr>
          <w:p w14:paraId="3B63E330" w14:textId="632DDD6C"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Norvegia, Danemarca, Finlanda, Suedia</w:t>
            </w:r>
          </w:p>
        </w:tc>
      </w:tr>
      <w:tr w:rsidR="006C7F44" w14:paraId="7AD66F28" w14:textId="77777777" w:rsidTr="006C7F44">
        <w:tc>
          <w:tcPr>
            <w:tcW w:w="2263" w:type="dxa"/>
          </w:tcPr>
          <w:p w14:paraId="28D1C649" w14:textId="4A9BCB70"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Abordare Atlantică</w:t>
            </w:r>
          </w:p>
        </w:tc>
        <w:tc>
          <w:tcPr>
            <w:tcW w:w="3544" w:type="dxa"/>
          </w:tcPr>
          <w:p w14:paraId="12B09FDD" w14:textId="0B799C1F"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-cerere guvernată</w:t>
            </w:r>
          </w:p>
        </w:tc>
        <w:tc>
          <w:tcPr>
            <w:tcW w:w="3255" w:type="dxa"/>
          </w:tcPr>
          <w:p w14:paraId="1CF19464" w14:textId="444F0DD8"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Marea Britanie, Irlanda</w:t>
            </w:r>
          </w:p>
        </w:tc>
      </w:tr>
      <w:tr w:rsidR="006C7F44" w14:paraId="47CC9300" w14:textId="77777777" w:rsidTr="006C7F44">
        <w:tc>
          <w:tcPr>
            <w:tcW w:w="2263" w:type="dxa"/>
          </w:tcPr>
          <w:p w14:paraId="0F733F87" w14:textId="1D613833"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Sistem francez</w:t>
            </w:r>
          </w:p>
        </w:tc>
        <w:tc>
          <w:tcPr>
            <w:tcW w:w="3544" w:type="dxa"/>
          </w:tcPr>
          <w:p w14:paraId="43F745E7" w14:textId="77777777"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-de sus în jos;</w:t>
            </w:r>
          </w:p>
          <w:p w14:paraId="05E10AFD" w14:textId="77777777"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-legislație;</w:t>
            </w:r>
          </w:p>
          <w:p w14:paraId="5358EA65" w14:textId="76421459"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-include un nivel de master;</w:t>
            </w:r>
          </w:p>
        </w:tc>
        <w:tc>
          <w:tcPr>
            <w:tcW w:w="3255" w:type="dxa"/>
          </w:tcPr>
          <w:p w14:paraId="1525020E" w14:textId="43119B45"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Franța, Belgia</w:t>
            </w:r>
          </w:p>
        </w:tc>
      </w:tr>
      <w:tr w:rsidR="006C7F44" w14:paraId="6EBDC1A9" w14:textId="77777777" w:rsidTr="006C7F44">
        <w:tc>
          <w:tcPr>
            <w:tcW w:w="2263" w:type="dxa"/>
          </w:tcPr>
          <w:p w14:paraId="0E303E85" w14:textId="34AF873B"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Model mixt</w:t>
            </w:r>
          </w:p>
        </w:tc>
        <w:tc>
          <w:tcPr>
            <w:tcW w:w="3544" w:type="dxa"/>
          </w:tcPr>
          <w:p w14:paraId="4660B7D3" w14:textId="77777777"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-bazat pe ofertă;</w:t>
            </w:r>
          </w:p>
          <w:p w14:paraId="6BDB2DC9" w14:textId="66F94B49"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-responsabilități partajate;</w:t>
            </w:r>
          </w:p>
        </w:tc>
        <w:tc>
          <w:tcPr>
            <w:tcW w:w="3255" w:type="dxa"/>
          </w:tcPr>
          <w:p w14:paraId="52785E12" w14:textId="0396B9D5"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Olanda</w:t>
            </w:r>
          </w:p>
        </w:tc>
      </w:tr>
      <w:tr w:rsidR="006C7F44" w14:paraId="7335A042" w14:textId="77777777" w:rsidTr="006C7F44">
        <w:tc>
          <w:tcPr>
            <w:tcW w:w="2263" w:type="dxa"/>
          </w:tcPr>
          <w:p w14:paraId="7057DC21" w14:textId="2949A65E"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Modelul Est-European</w:t>
            </w:r>
          </w:p>
        </w:tc>
        <w:tc>
          <w:tcPr>
            <w:tcW w:w="3544" w:type="dxa"/>
          </w:tcPr>
          <w:p w14:paraId="5D389A19" w14:textId="77777777"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-de sus în jos;</w:t>
            </w:r>
          </w:p>
          <w:p w14:paraId="75A4CAEE" w14:textId="769EFF64"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-în tranziție;</w:t>
            </w:r>
          </w:p>
        </w:tc>
        <w:tc>
          <w:tcPr>
            <w:tcW w:w="3255" w:type="dxa"/>
          </w:tcPr>
          <w:p w14:paraId="4E0A10DC" w14:textId="49AC3137" w:rsidR="006C7F44" w:rsidRDefault="006C7F44" w:rsidP="006C7F44">
            <w:pPr>
              <w:spacing w:line="360" w:lineRule="auto"/>
              <w:rPr>
                <w:rFonts w:ascii="Times New Roman" w:hAnsi="Times New Roman" w:cs="Times New Roman"/>
                <w:sz w:val="24"/>
                <w:szCs w:val="24"/>
              </w:rPr>
            </w:pPr>
            <w:r>
              <w:rPr>
                <w:rFonts w:ascii="Times New Roman" w:hAnsi="Times New Roman" w:cs="Times New Roman"/>
                <w:sz w:val="24"/>
                <w:szCs w:val="24"/>
              </w:rPr>
              <w:t>Bulgaria, România, Polonia, Republica Cehă, Slovenia, Ungaria</w:t>
            </w:r>
          </w:p>
        </w:tc>
      </w:tr>
    </w:tbl>
    <w:p w14:paraId="2F22CBE2" w14:textId="77777777" w:rsidR="00930A66" w:rsidRDefault="006C7F44" w:rsidP="006C7F44">
      <w:pPr>
        <w:spacing w:line="360" w:lineRule="auto"/>
        <w:ind w:firstLine="567"/>
        <w:jc w:val="both"/>
        <w:rPr>
          <w:rFonts w:ascii="Times New Roman" w:hAnsi="Times New Roman" w:cs="Times New Roman"/>
          <w:sz w:val="24"/>
          <w:szCs w:val="24"/>
        </w:rPr>
      </w:pPr>
      <w:r w:rsidRPr="006C7F44">
        <w:rPr>
          <w:rFonts w:ascii="Times New Roman" w:hAnsi="Times New Roman" w:cs="Times New Roman"/>
          <w:sz w:val="24"/>
          <w:szCs w:val="24"/>
        </w:rPr>
        <w:t xml:space="preserve">În studiul </w:t>
      </w:r>
      <w:r>
        <w:rPr>
          <w:rFonts w:ascii="Times New Roman" w:hAnsi="Times New Roman" w:cs="Times New Roman"/>
          <w:sz w:val="24"/>
          <w:szCs w:val="24"/>
        </w:rPr>
        <w:t>„</w:t>
      </w:r>
      <w:r w:rsidRPr="006C7F44">
        <w:rPr>
          <w:rFonts w:ascii="Times New Roman" w:hAnsi="Times New Roman" w:cs="Times New Roman"/>
          <w:sz w:val="24"/>
          <w:szCs w:val="24"/>
        </w:rPr>
        <w:t>Povestea neterminată a Educației și Formării Profesionale în Europa - Unfinished story of VPL in Europe</w:t>
      </w:r>
      <w:r>
        <w:rPr>
          <w:rFonts w:ascii="Times New Roman" w:hAnsi="Times New Roman" w:cs="Times New Roman"/>
          <w:sz w:val="24"/>
          <w:szCs w:val="24"/>
        </w:rPr>
        <w:t>”</w:t>
      </w:r>
      <w:r w:rsidRPr="006C7F44">
        <w:rPr>
          <w:rFonts w:ascii="Times New Roman" w:hAnsi="Times New Roman" w:cs="Times New Roman"/>
          <w:sz w:val="24"/>
          <w:szCs w:val="24"/>
        </w:rPr>
        <w:t xml:space="preserve"> , modelul mai sus prezentat a fost ajustat pentru a reflecta mai fidel situația reală din Europa. De asemenea, prin proiectul Leonardo </w:t>
      </w:r>
      <w:r>
        <w:rPr>
          <w:rFonts w:ascii="Times New Roman" w:hAnsi="Times New Roman" w:cs="Times New Roman"/>
          <w:sz w:val="24"/>
          <w:szCs w:val="24"/>
        </w:rPr>
        <w:t>„</w:t>
      </w:r>
      <w:r w:rsidRPr="006C7F44">
        <w:rPr>
          <w:rFonts w:ascii="Times New Roman" w:hAnsi="Times New Roman" w:cs="Times New Roman"/>
          <w:sz w:val="24"/>
          <w:szCs w:val="24"/>
        </w:rPr>
        <w:t>Gestionarea diversității europene în învățarea pe tot parcursul vieții</w:t>
      </w:r>
      <w:r>
        <w:rPr>
          <w:rFonts w:ascii="Times New Roman" w:hAnsi="Times New Roman" w:cs="Times New Roman"/>
          <w:sz w:val="24"/>
          <w:szCs w:val="24"/>
        </w:rPr>
        <w:t>”</w:t>
      </w:r>
      <w:r w:rsidRPr="006C7F44">
        <w:rPr>
          <w:rFonts w:ascii="Times New Roman" w:hAnsi="Times New Roman" w:cs="Times New Roman"/>
          <w:sz w:val="24"/>
          <w:szCs w:val="24"/>
        </w:rPr>
        <w:t xml:space="preserve"> modelul de grup a fost actualizat. </w:t>
      </w:r>
    </w:p>
    <w:p w14:paraId="3C2C91A1" w14:textId="07144189" w:rsidR="00A77D7A" w:rsidRDefault="006C7F44" w:rsidP="006C7F44">
      <w:pPr>
        <w:spacing w:line="360" w:lineRule="auto"/>
        <w:ind w:firstLine="567"/>
        <w:jc w:val="both"/>
        <w:rPr>
          <w:rFonts w:ascii="Times New Roman" w:hAnsi="Times New Roman" w:cs="Times New Roman"/>
          <w:sz w:val="24"/>
          <w:szCs w:val="24"/>
        </w:rPr>
      </w:pPr>
      <w:r w:rsidRPr="006C7F44">
        <w:rPr>
          <w:rFonts w:ascii="Times New Roman" w:hAnsi="Times New Roman" w:cs="Times New Roman"/>
          <w:sz w:val="24"/>
          <w:szCs w:val="24"/>
        </w:rPr>
        <w:lastRenderedPageBreak/>
        <w:t>De exemplu, sistemele franceze, belgiene și olandeze au fost adăugate sub formă de culturi de învățare separate, caracterizate prin diferite tipuri de gestionare de sus în jos (top-down) a educației și formării profesionale. În sistemul dual, învățarea se bazează pe experiența la locul de muncă. Combinația dintre muncă și învățare este integrată în sistemul de învățământ. Cu toate acestea, se pare că sistemul dual poate răspunde doar parțial la flexibilitatea pieței muncii și cererea de inovare, deoarece programele sunt uneori fixe, mai puțin flexibile și se concentrează pe reproducerea cunoștințelor și competențelor. Datorită combinației de învă</w:t>
      </w:r>
      <w:r>
        <w:rPr>
          <w:rFonts w:ascii="Times New Roman" w:hAnsi="Times New Roman" w:cs="Times New Roman"/>
          <w:sz w:val="24"/>
          <w:szCs w:val="24"/>
        </w:rPr>
        <w:t>ț</w:t>
      </w:r>
      <w:r w:rsidRPr="006C7F44">
        <w:rPr>
          <w:rFonts w:ascii="Times New Roman" w:hAnsi="Times New Roman" w:cs="Times New Roman"/>
          <w:sz w:val="24"/>
          <w:szCs w:val="24"/>
        </w:rPr>
        <w:t>are formală și experimentală, acest model este considerat a fi un succes, în metoda pedagogică. Țările mediteraneene au un sistem educațional care se bazează pe o programă școlară care conduce la o educație de tip academic. În general se caracterizează printr-o</w:t>
      </w:r>
      <w:r>
        <w:rPr>
          <w:rFonts w:ascii="Times New Roman" w:hAnsi="Times New Roman" w:cs="Times New Roman"/>
          <w:sz w:val="24"/>
          <w:szCs w:val="24"/>
        </w:rPr>
        <w:t xml:space="preserve"> </w:t>
      </w:r>
      <w:r w:rsidRPr="006C7F44">
        <w:rPr>
          <w:rFonts w:ascii="Times New Roman" w:hAnsi="Times New Roman" w:cs="Times New Roman"/>
          <w:sz w:val="24"/>
          <w:szCs w:val="24"/>
        </w:rPr>
        <w:t xml:space="preserve">tradiție slabă privind educația profesională și tehnologică, ceea ce înseamnă că învățarea profesională are loc, în principal la locul de muncă, fără nici o diplomă sau un certificat, în general realizată într-un cadru informal. Cu toate acestea, certificatele formale sunt foarte apreciate (inclusiv diplomele academice), chiar dacă nu asigură neapărat și un loc de muncă. În aceste țări au fost adoptate și încă sunt în curs de implementare o serie întreagă de reforme privind sistemele de educație cu scopul de a asigura o mai bună corelare între curricula de învățământ și nevoile pieței muncii, dar și pentru îmbunătățirea imaginii EFP. În țările din nordul Europei, avem cel mai înalt nivel de educație din Europa. Învățarea din alte zone este importantă pentru dezvoltarea sistemului național de învățământ. În plus, piața europeană a muncii din nordul Europei s-a asigurat că transferul de competențe dincolo de granițe este în general acceptat. Partenerii sociali sunt puternic implicați în educație și formare. </w:t>
      </w:r>
    </w:p>
    <w:p w14:paraId="293B1D0D" w14:textId="27A787E9" w:rsidR="006C7F44" w:rsidRDefault="006C7F44" w:rsidP="006C7F44">
      <w:pPr>
        <w:spacing w:line="360" w:lineRule="auto"/>
        <w:ind w:firstLine="567"/>
        <w:jc w:val="both"/>
        <w:rPr>
          <w:rFonts w:ascii="Times New Roman" w:hAnsi="Times New Roman" w:cs="Times New Roman"/>
          <w:sz w:val="24"/>
          <w:szCs w:val="24"/>
        </w:rPr>
      </w:pPr>
      <w:r w:rsidRPr="006C7F44">
        <w:rPr>
          <w:rFonts w:ascii="Times New Roman" w:hAnsi="Times New Roman" w:cs="Times New Roman"/>
          <w:sz w:val="24"/>
          <w:szCs w:val="24"/>
        </w:rPr>
        <w:t>În Norvegia, de exemplu, experiența de lucru este acum o parte obligatorie a tuturor cursurilor în educația și formarea profesională. După doi ani de introducere generală în subiecte, aceștia sunt urmați de doi ani de lucru și de învățare în cadrul unei companii. Examenul final este același, pentru toată lumea, indiferent unde a avut loc formarea profesională. În Marea Britanie și Irlanda (abordarea Atlantică), găsim o puternică focalizare pe un sistem modularizat și flexibil care satisface cererile instituțiilor publice și private. Au fost multe proiecte experimentale în țările europene pentru a afla dacă acest model NVQ8 ar putea fi aplicat (parțial) în contextul propriu. Sistemul NVQ, bazat pe competențe, realizări și activități, a fost introdus ca o alternativă pentru modelul tradițional școala având la bază ideea că ceea ce ai învățat este mai important decât modul în care ai învățat. Sistemul francez, are o cultură în care certificarea și diploma formală sunt foarte apreciate. Unul dintre motive este structura națională și natura sistemului educațional. Acestea cuprind programe naționale de formare, inclusiv pentru învățământul superior, dar cu puțină flexibilitate în ceea ce privește diferențierea de la un furnizor de formare profesională la altul. Unul dintre avantajele acestui sistem este transparența și stabilitatea. Toți actorii, inclusiv angajatorii sunt familiarizați cu sistemul de calificări naționale. Modelul mixt reprezintă compromisuri între diferite modele. Aceste țări au propria lor abordare și învăța din greșelile altor modele, utilizând acele elementele care sunt considerate adecvate pentru contextul lor. În Belgia, spre exemplu, certificatele și diplomele sunt, de asemenea, foarte apreciate, dar sistemul este descentralizat spre deosebire de cel din Franța. Organismele de gestiune și asociațiile școlilor reprezentative din ambele țări au autonomie pentru a-și stabili propriile lor programe de învățământ. Standardele sunt stabilite de către Guvern, însă în Belgia, operatorii de educație și formare profesională au mai multă autonomie cu privire la modul în care oferă educația.</w:t>
      </w:r>
    </w:p>
    <w:p w14:paraId="0A89FB61" w14:textId="77777777" w:rsidR="00930A66" w:rsidRDefault="00A77D7A" w:rsidP="006C7F44">
      <w:pPr>
        <w:spacing w:line="360" w:lineRule="auto"/>
        <w:ind w:firstLine="567"/>
        <w:jc w:val="both"/>
        <w:rPr>
          <w:rFonts w:ascii="Times New Roman" w:hAnsi="Times New Roman" w:cs="Times New Roman"/>
          <w:sz w:val="24"/>
          <w:szCs w:val="24"/>
        </w:rPr>
      </w:pPr>
      <w:r w:rsidRPr="00A77D7A">
        <w:rPr>
          <w:rFonts w:ascii="Times New Roman" w:hAnsi="Times New Roman" w:cs="Times New Roman"/>
          <w:sz w:val="24"/>
          <w:szCs w:val="24"/>
        </w:rPr>
        <w:t>Modelul est-european este rezultatul moștenirii structurii economiilor regionale și al progresului reformelor în aceste țări, existând diferențe majore între regiuni, dar și în ceea ce privește structura cererii și ofertei pentru forța de muncă. Obiectivul specific al serviciilor de EFP este reducerea numărului șomerilor tineri. Celor ce au abandonat sistemul educațional, trebuie să li se ofere oportunități de a atinge un nivel adecvat de educație și formare profesională în vederea angajării lor viitoare. De asemenea, numărul de șomeri pe termen lung trebuie redus. Un alt aspect important îl reprezintă perfecționarea aptitudinilor și competențelor forței de muncă. Acest lucru se poate face la locul de munca sau prin formare profesională suplimentară.</w:t>
      </w:r>
    </w:p>
    <w:p w14:paraId="6115C1FF" w14:textId="10759962" w:rsidR="00A77D7A" w:rsidRDefault="00A77D7A" w:rsidP="006C7F44">
      <w:pPr>
        <w:spacing w:line="360" w:lineRule="auto"/>
        <w:ind w:firstLine="567"/>
        <w:jc w:val="both"/>
        <w:rPr>
          <w:rFonts w:ascii="Times New Roman" w:hAnsi="Times New Roman" w:cs="Times New Roman"/>
          <w:sz w:val="24"/>
          <w:szCs w:val="24"/>
        </w:rPr>
      </w:pPr>
      <w:r w:rsidRPr="00A77D7A">
        <w:rPr>
          <w:rFonts w:ascii="Times New Roman" w:hAnsi="Times New Roman" w:cs="Times New Roman"/>
          <w:sz w:val="24"/>
          <w:szCs w:val="24"/>
        </w:rPr>
        <w:t>Din acest punct de vedere, în aceste țări se observă existența unei necesități mai mari pentru învățarea pe tot parcursul vieții decât în partea de nord a Europei, atât din cauza unei tradiții puternice în educație și formare, dar și pentru că au dezvoltat o cultură de învățare rigidă. Tradițional, controlul centralizat al educației de către Guvern, devine în general un obstacol în calea creativității și inovației.</w:t>
      </w:r>
    </w:p>
    <w:p w14:paraId="54FE60C0" w14:textId="534CE981" w:rsidR="00A77D7A" w:rsidRPr="00A77D7A" w:rsidRDefault="00A77D7A" w:rsidP="006C7F44">
      <w:pPr>
        <w:spacing w:line="360" w:lineRule="auto"/>
        <w:ind w:firstLine="567"/>
        <w:jc w:val="both"/>
        <w:rPr>
          <w:rFonts w:ascii="Times New Roman" w:hAnsi="Times New Roman" w:cs="Times New Roman"/>
          <w:b/>
          <w:bCs/>
          <w:sz w:val="24"/>
          <w:szCs w:val="24"/>
        </w:rPr>
      </w:pPr>
      <w:r w:rsidRPr="00A77D7A">
        <w:rPr>
          <w:rFonts w:ascii="Times New Roman" w:hAnsi="Times New Roman" w:cs="Times New Roman"/>
          <w:b/>
          <w:bCs/>
          <w:sz w:val="24"/>
          <w:szCs w:val="24"/>
        </w:rPr>
        <w:t>Bibliografie</w:t>
      </w:r>
    </w:p>
    <w:p w14:paraId="48A6DF9E" w14:textId="744A591B" w:rsidR="00A77D7A" w:rsidRDefault="00A77D7A" w:rsidP="00A77D7A">
      <w:pPr>
        <w:pStyle w:val="ListParagraph"/>
        <w:numPr>
          <w:ilvl w:val="0"/>
          <w:numId w:val="1"/>
        </w:numPr>
        <w:spacing w:line="360" w:lineRule="auto"/>
        <w:jc w:val="both"/>
        <w:rPr>
          <w:rFonts w:ascii="Times New Roman" w:hAnsi="Times New Roman" w:cs="Times New Roman"/>
          <w:sz w:val="24"/>
          <w:szCs w:val="24"/>
        </w:rPr>
      </w:pPr>
      <w:r w:rsidRPr="00A77D7A">
        <w:rPr>
          <w:rFonts w:ascii="Times New Roman" w:hAnsi="Times New Roman" w:cs="Times New Roman"/>
          <w:sz w:val="24"/>
          <w:szCs w:val="24"/>
        </w:rPr>
        <w:t>European Commission, Employment, Social Affairs and Inclusion, Adressing Youth unemployment in Europe, factsheet 2015 (Comisia Europeana, Ocupare, Afaceri Sociale și Incluziune, Abordarea șomajului în rândul tinerilor în Europa, dosar 2015);</w:t>
      </w:r>
    </w:p>
    <w:p w14:paraId="63496967" w14:textId="176BBB12" w:rsidR="00A77D7A" w:rsidRPr="00A77D7A" w:rsidRDefault="00A77D7A" w:rsidP="00A77D7A">
      <w:pPr>
        <w:pStyle w:val="ListParagraph"/>
        <w:numPr>
          <w:ilvl w:val="0"/>
          <w:numId w:val="1"/>
        </w:numPr>
        <w:spacing w:line="360" w:lineRule="auto"/>
        <w:jc w:val="both"/>
        <w:rPr>
          <w:rFonts w:ascii="Times New Roman" w:hAnsi="Times New Roman" w:cs="Times New Roman"/>
          <w:sz w:val="24"/>
          <w:szCs w:val="24"/>
        </w:rPr>
      </w:pPr>
      <w:r w:rsidRPr="00A77D7A">
        <w:rPr>
          <w:rFonts w:ascii="Times New Roman" w:hAnsi="Times New Roman" w:cs="Times New Roman"/>
          <w:sz w:val="24"/>
          <w:szCs w:val="24"/>
        </w:rPr>
        <w:t>Progress towards the common European objectives in education and training. Indicators and benchmarks 2010/2011, Commission staff working document, Chapter II, Improving the quality and efficiency of Education and Training, DGEAC 2010;</w:t>
      </w:r>
    </w:p>
    <w:sectPr w:rsidR="00A77D7A" w:rsidRPr="00A77D7A">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067D15" w14:textId="77777777" w:rsidR="0037120E" w:rsidRDefault="0037120E" w:rsidP="00A77D7A">
      <w:pPr>
        <w:spacing w:after="0" w:line="240" w:lineRule="auto"/>
      </w:pPr>
      <w:r>
        <w:separator/>
      </w:r>
    </w:p>
  </w:endnote>
  <w:endnote w:type="continuationSeparator" w:id="0">
    <w:p w14:paraId="2061E243" w14:textId="77777777" w:rsidR="0037120E" w:rsidRDefault="0037120E" w:rsidP="00A77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21869278"/>
      <w:docPartObj>
        <w:docPartGallery w:val="Page Numbers (Bottom of Page)"/>
        <w:docPartUnique/>
      </w:docPartObj>
    </w:sdtPr>
    <w:sdtEndPr/>
    <w:sdtContent>
      <w:p w14:paraId="5512C4DF" w14:textId="3D476090" w:rsidR="00A77D7A" w:rsidRDefault="00A77D7A">
        <w:pPr>
          <w:pStyle w:val="Footer"/>
          <w:jc w:val="center"/>
        </w:pPr>
        <w:r>
          <w:fldChar w:fldCharType="begin"/>
        </w:r>
        <w:r>
          <w:instrText>PAGE   \* MERGEFORMAT</w:instrText>
        </w:r>
        <w:r>
          <w:fldChar w:fldCharType="separate"/>
        </w:r>
        <w:r>
          <w:t>2</w:t>
        </w:r>
        <w:r>
          <w:fldChar w:fldCharType="end"/>
        </w:r>
      </w:p>
    </w:sdtContent>
  </w:sdt>
  <w:p w14:paraId="10BDE58A" w14:textId="77777777" w:rsidR="00A77D7A" w:rsidRDefault="00A77D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3F91B6" w14:textId="77777777" w:rsidR="0037120E" w:rsidRDefault="0037120E" w:rsidP="00A77D7A">
      <w:pPr>
        <w:spacing w:after="0" w:line="240" w:lineRule="auto"/>
      </w:pPr>
      <w:r>
        <w:separator/>
      </w:r>
    </w:p>
  </w:footnote>
  <w:footnote w:type="continuationSeparator" w:id="0">
    <w:p w14:paraId="7D966AAE" w14:textId="77777777" w:rsidR="0037120E" w:rsidRDefault="0037120E" w:rsidP="00A77D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55E19"/>
    <w:multiLevelType w:val="hybridMultilevel"/>
    <w:tmpl w:val="6642615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672"/>
    <w:rsid w:val="000E10F1"/>
    <w:rsid w:val="0037120E"/>
    <w:rsid w:val="004A3672"/>
    <w:rsid w:val="006C7F44"/>
    <w:rsid w:val="007046D0"/>
    <w:rsid w:val="00930A66"/>
    <w:rsid w:val="009D54F9"/>
    <w:rsid w:val="00A77D7A"/>
    <w:rsid w:val="00F5037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FC35E"/>
  <w15:chartTrackingRefBased/>
  <w15:docId w15:val="{5D677E84-E3A1-4A13-A619-A628601B6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C7F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7D7A"/>
    <w:pPr>
      <w:ind w:left="720"/>
      <w:contextualSpacing/>
    </w:pPr>
  </w:style>
  <w:style w:type="paragraph" w:styleId="Header">
    <w:name w:val="header"/>
    <w:basedOn w:val="Normal"/>
    <w:link w:val="HeaderChar"/>
    <w:uiPriority w:val="99"/>
    <w:unhideWhenUsed/>
    <w:rsid w:val="00A77D7A"/>
    <w:pPr>
      <w:tabs>
        <w:tab w:val="center" w:pos="4536"/>
        <w:tab w:val="right" w:pos="9072"/>
      </w:tabs>
      <w:spacing w:after="0" w:line="240" w:lineRule="auto"/>
    </w:pPr>
  </w:style>
  <w:style w:type="character" w:customStyle="1" w:styleId="HeaderChar">
    <w:name w:val="Header Char"/>
    <w:basedOn w:val="DefaultParagraphFont"/>
    <w:link w:val="Header"/>
    <w:uiPriority w:val="99"/>
    <w:rsid w:val="00A77D7A"/>
  </w:style>
  <w:style w:type="paragraph" w:styleId="Footer">
    <w:name w:val="footer"/>
    <w:basedOn w:val="Normal"/>
    <w:link w:val="FooterChar"/>
    <w:uiPriority w:val="99"/>
    <w:unhideWhenUsed/>
    <w:rsid w:val="00A77D7A"/>
    <w:pPr>
      <w:tabs>
        <w:tab w:val="center" w:pos="4536"/>
        <w:tab w:val="right" w:pos="9072"/>
      </w:tabs>
      <w:spacing w:after="0" w:line="240" w:lineRule="auto"/>
    </w:pPr>
  </w:style>
  <w:style w:type="character" w:customStyle="1" w:styleId="FooterChar">
    <w:name w:val="Footer Char"/>
    <w:basedOn w:val="DefaultParagraphFont"/>
    <w:link w:val="Footer"/>
    <w:uiPriority w:val="99"/>
    <w:rsid w:val="00A77D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1140</Words>
  <Characters>6503</Characters>
  <Application>Microsoft Office Word</Application>
  <DocSecurity>0</DocSecurity>
  <Lines>54</Lines>
  <Paragraphs>15</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7628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c:creator>
  <cp:keywords/>
  <dc:description/>
  <cp:lastModifiedBy>adriana istrate</cp:lastModifiedBy>
  <cp:revision>2</cp:revision>
  <dcterms:created xsi:type="dcterms:W3CDTF">2020-02-28T19:35:00Z</dcterms:created>
  <dcterms:modified xsi:type="dcterms:W3CDTF">2020-02-28T19:35:00Z</dcterms:modified>
</cp:coreProperties>
</file>